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7653">
      <w:pPr>
        <w:pStyle w:val="Heading1"/>
        <w:spacing w:after="0"/>
        <w:rPr>
          <w:rFonts w:ascii="Arial Black" w:hAnsi="Arial Black"/>
          <w:b w:val="0"/>
        </w:rPr>
      </w:pPr>
      <w:bookmarkStart w:id="0" w:name="_Toc110917584"/>
      <w:bookmarkStart w:id="1" w:name="_GoBack"/>
      <w:bookmarkEnd w:id="1"/>
      <w:r>
        <w:rPr>
          <w:rFonts w:ascii="Arial Black" w:hAnsi="Arial Black"/>
          <w:b w:val="0"/>
        </w:rPr>
        <w:t>Example: documenting a specific energy-control procedure</w:t>
      </w:r>
      <w:bookmarkEnd w:id="0"/>
    </w:p>
    <w:p w:rsidR="00000000" w:rsidRDefault="001E7653">
      <w:pPr>
        <w:pStyle w:val="BodyText"/>
        <w:rPr>
          <w:b/>
        </w:rPr>
      </w:pPr>
      <w:r>
        <w:rPr>
          <w:b/>
        </w:rPr>
        <w:t>Note to employers: Use this example as a model for documenting specific energy control procedures for machines and equipment at your workplace.</w:t>
      </w:r>
    </w:p>
    <w:p w:rsidR="00000000" w:rsidRDefault="001E7653">
      <w:r>
        <w:rPr>
          <w:b/>
        </w:rPr>
        <w:t>Department:</w:t>
      </w:r>
      <w:r>
        <w:tab/>
      </w:r>
      <w:r>
        <w:tab/>
        <w:t>Machine shop</w:t>
      </w:r>
    </w:p>
    <w:p w:rsidR="00000000" w:rsidRDefault="001E7653">
      <w:r>
        <w:rPr>
          <w:b/>
        </w:rPr>
        <w:t>Equipment:</w:t>
      </w:r>
      <w:r>
        <w:tab/>
      </w:r>
      <w:r>
        <w:tab/>
        <w:t>Suction Blast Cab</w:t>
      </w:r>
      <w:r>
        <w:t>inet w/ Dust Extraction System</w:t>
      </w:r>
    </w:p>
    <w:p w:rsidR="00000000" w:rsidRDefault="001E7653">
      <w:r>
        <w:rPr>
          <w:b/>
        </w:rPr>
        <w:t>Equipment manufacturer and serial number:</w:t>
      </w:r>
      <w:r>
        <w:t xml:space="preserve"> Dust Extraction Systems, INC. #xxxxxxx</w:t>
      </w:r>
    </w:p>
    <w:p w:rsidR="00000000" w:rsidRDefault="001E7653">
      <w:r>
        <w:rPr>
          <w:b/>
        </w:rPr>
        <w:t>Contact person:</w:t>
      </w:r>
      <w:r>
        <w:tab/>
        <w:t xml:space="preserve">Supervisor </w:t>
      </w:r>
    </w:p>
    <w:p w:rsidR="00000000" w:rsidRDefault="001E7653">
      <w:pPr>
        <w:spacing w:after="360"/>
      </w:pPr>
      <w:r>
        <w:rPr>
          <w:b/>
        </w:rPr>
        <w:t>Authorized employee(s):</w:t>
      </w:r>
      <w:r>
        <w:tab/>
        <w:t>Electricians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2160"/>
        <w:gridCol w:w="2700"/>
        <w:gridCol w:w="2520"/>
      </w:tblGrid>
      <w:tr w:rsidR="00000000">
        <w:tblPrEx>
          <w:tblCellMar>
            <w:top w:w="0" w:type="dxa"/>
            <w:bottom w:w="0" w:type="dxa"/>
          </w:tblCellMar>
        </w:tblPrEx>
        <w:trPr>
          <w:cantSplit/>
        </w:trPr>
        <w:tc>
          <w:tcPr>
            <w:tcW w:w="9648" w:type="dxa"/>
            <w:gridSpan w:val="5"/>
            <w:tcBorders>
              <w:left w:val="nil"/>
              <w:bottom w:val="nil"/>
              <w:right w:val="nil"/>
            </w:tcBorders>
          </w:tcPr>
          <w:p w:rsidR="00000000" w:rsidRDefault="001E7653">
            <w:pPr>
              <w:spacing w:before="100" w:after="100"/>
              <w:rPr>
                <w:sz w:val="22"/>
              </w:rPr>
            </w:pPr>
            <w:r>
              <w:rPr>
                <w:b/>
                <w:sz w:val="22"/>
              </w:rPr>
              <w:t>Purpose:</w:t>
            </w:r>
            <w:r>
              <w:rPr>
                <w:sz w:val="22"/>
              </w:rPr>
              <w:t xml:space="preserve"> This procedure establishes minimum requirements for the lockout of the</w:t>
            </w:r>
            <w:r>
              <w:rPr>
                <w:sz w:val="22"/>
              </w:rPr>
              <w:t xml:space="preserve"> suction blast cabinet whenever maintenance or service work is performed. The procedure is used to ensure that the machine is stopped, isolated from all potential hazardous energy sources, and locked out before employees perform any servicing or maintenanc</w:t>
            </w:r>
            <w:r>
              <w:rPr>
                <w:sz w:val="22"/>
              </w:rPr>
              <w:t xml:space="preserve">e. </w:t>
            </w:r>
          </w:p>
        </w:tc>
      </w:tr>
      <w:tr w:rsidR="00000000">
        <w:tblPrEx>
          <w:tblCellMar>
            <w:top w:w="0" w:type="dxa"/>
            <w:bottom w:w="0" w:type="dxa"/>
          </w:tblCellMar>
        </w:tblPrEx>
        <w:trPr>
          <w:cantSplit/>
        </w:trPr>
        <w:tc>
          <w:tcPr>
            <w:tcW w:w="9648" w:type="dxa"/>
            <w:gridSpan w:val="5"/>
            <w:tcBorders>
              <w:left w:val="nil"/>
              <w:right w:val="nil"/>
            </w:tcBorders>
          </w:tcPr>
          <w:p w:rsidR="00000000" w:rsidRDefault="001E7653">
            <w:pPr>
              <w:spacing w:before="100" w:after="100"/>
              <w:jc w:val="center"/>
              <w:rPr>
                <w:b/>
                <w:color w:val="FF0000"/>
                <w:sz w:val="20"/>
              </w:rPr>
            </w:pPr>
            <w:r>
              <w:rPr>
                <w:b/>
                <w:color w:val="FF0000"/>
                <w:sz w:val="20"/>
              </w:rPr>
              <w:t>Notify all affected employees before this lockout procedure is used.</w:t>
            </w:r>
          </w:p>
        </w:tc>
      </w:tr>
      <w:tr w:rsidR="00000000">
        <w:tblPrEx>
          <w:tblCellMar>
            <w:top w:w="0" w:type="dxa"/>
            <w:bottom w:w="0" w:type="dxa"/>
          </w:tblCellMar>
        </w:tblPrEx>
        <w:trPr>
          <w:cantSplit/>
        </w:trPr>
        <w:tc>
          <w:tcPr>
            <w:tcW w:w="2268" w:type="dxa"/>
            <w:gridSpan w:val="2"/>
            <w:tcBorders>
              <w:left w:val="nil"/>
            </w:tcBorders>
          </w:tcPr>
          <w:p w:rsidR="00000000" w:rsidRDefault="001E7653">
            <w:pPr>
              <w:spacing w:before="100" w:after="100"/>
              <w:jc w:val="center"/>
              <w:rPr>
                <w:b/>
                <w:sz w:val="20"/>
              </w:rPr>
            </w:pPr>
            <w:r>
              <w:rPr>
                <w:b/>
                <w:sz w:val="20"/>
              </w:rPr>
              <w:t>Hazardous energy</w:t>
            </w:r>
          </w:p>
        </w:tc>
        <w:tc>
          <w:tcPr>
            <w:tcW w:w="2160" w:type="dxa"/>
          </w:tcPr>
          <w:p w:rsidR="00000000" w:rsidRDefault="001E7653">
            <w:pPr>
              <w:spacing w:before="100" w:after="100"/>
              <w:jc w:val="center"/>
              <w:rPr>
                <w:b/>
                <w:sz w:val="20"/>
              </w:rPr>
            </w:pPr>
            <w:r>
              <w:rPr>
                <w:b/>
                <w:sz w:val="20"/>
              </w:rPr>
              <w:t>Lockout steps</w:t>
            </w:r>
          </w:p>
        </w:tc>
        <w:tc>
          <w:tcPr>
            <w:tcW w:w="2700" w:type="dxa"/>
          </w:tcPr>
          <w:p w:rsidR="00000000" w:rsidRDefault="001E7653">
            <w:pPr>
              <w:pStyle w:val="Heading4"/>
            </w:pPr>
            <w:r>
              <w:t>Verification steps</w:t>
            </w:r>
          </w:p>
        </w:tc>
        <w:tc>
          <w:tcPr>
            <w:tcW w:w="2520" w:type="dxa"/>
            <w:tcBorders>
              <w:right w:val="nil"/>
            </w:tcBorders>
          </w:tcPr>
          <w:p w:rsidR="00000000" w:rsidRDefault="001E7653">
            <w:pPr>
              <w:spacing w:before="100" w:after="100"/>
              <w:jc w:val="center"/>
              <w:rPr>
                <w:b/>
                <w:sz w:val="20"/>
              </w:rPr>
            </w:pPr>
            <w:r>
              <w:rPr>
                <w:b/>
                <w:sz w:val="20"/>
              </w:rPr>
              <w:t>Return to service steps</w:t>
            </w:r>
          </w:p>
        </w:tc>
      </w:tr>
      <w:tr w:rsidR="00000000">
        <w:tblPrEx>
          <w:tblCellMar>
            <w:top w:w="0" w:type="dxa"/>
            <w:bottom w:w="0" w:type="dxa"/>
          </w:tblCellMar>
        </w:tblPrEx>
        <w:trPr>
          <w:cantSplit/>
          <w:trHeight w:val="350"/>
        </w:trPr>
        <w:tc>
          <w:tcPr>
            <w:tcW w:w="1098" w:type="dxa"/>
            <w:tcBorders>
              <w:left w:val="nil"/>
            </w:tcBorders>
          </w:tcPr>
          <w:p w:rsidR="00000000" w:rsidRDefault="001E7653">
            <w:pPr>
              <w:spacing w:before="100" w:after="100"/>
              <w:jc w:val="center"/>
              <w:rPr>
                <w:b/>
                <w:sz w:val="20"/>
              </w:rPr>
            </w:pPr>
            <w:r>
              <w:rPr>
                <w:b/>
                <w:sz w:val="20"/>
              </w:rPr>
              <w:t>Type</w:t>
            </w:r>
          </w:p>
        </w:tc>
        <w:tc>
          <w:tcPr>
            <w:tcW w:w="1170" w:type="dxa"/>
          </w:tcPr>
          <w:p w:rsidR="00000000" w:rsidRDefault="001E7653">
            <w:pPr>
              <w:spacing w:before="100" w:after="100"/>
              <w:rPr>
                <w:b/>
                <w:sz w:val="20"/>
              </w:rPr>
            </w:pPr>
            <w:r>
              <w:rPr>
                <w:b/>
                <w:sz w:val="20"/>
              </w:rPr>
              <w:t>Magnitude</w:t>
            </w:r>
          </w:p>
        </w:tc>
        <w:tc>
          <w:tcPr>
            <w:tcW w:w="2160" w:type="dxa"/>
            <w:vMerge w:val="restart"/>
          </w:tcPr>
          <w:p w:rsidR="00000000" w:rsidRDefault="001E7653">
            <w:pPr>
              <w:numPr>
                <w:ilvl w:val="0"/>
                <w:numId w:val="14"/>
              </w:numPr>
              <w:spacing w:before="100" w:after="100"/>
              <w:rPr>
                <w:sz w:val="20"/>
              </w:rPr>
            </w:pPr>
            <w:r>
              <w:rPr>
                <w:sz w:val="20"/>
              </w:rPr>
              <w:t xml:space="preserve">Press the </w:t>
            </w:r>
            <w:r>
              <w:rPr>
                <w:b/>
                <w:sz w:val="20"/>
              </w:rPr>
              <w:t>STOP</w:t>
            </w:r>
            <w:r>
              <w:rPr>
                <w:sz w:val="20"/>
              </w:rPr>
              <w:t xml:space="preserve"> button to de-energize the machine.</w:t>
            </w:r>
          </w:p>
          <w:p w:rsidR="00000000" w:rsidRDefault="001E7653">
            <w:pPr>
              <w:numPr>
                <w:ilvl w:val="0"/>
                <w:numId w:val="14"/>
              </w:numPr>
              <w:spacing w:before="100" w:after="100"/>
              <w:rPr>
                <w:sz w:val="20"/>
              </w:rPr>
            </w:pPr>
            <w:r>
              <w:rPr>
                <w:sz w:val="20"/>
              </w:rPr>
              <w:t xml:space="preserve">Place the main service disconnect in the </w:t>
            </w:r>
            <w:r>
              <w:rPr>
                <w:b/>
                <w:sz w:val="20"/>
              </w:rPr>
              <w:t xml:space="preserve">OFF </w:t>
            </w:r>
            <w:r>
              <w:rPr>
                <w:sz w:val="20"/>
              </w:rPr>
              <w:t xml:space="preserve">position. </w:t>
            </w:r>
          </w:p>
          <w:p w:rsidR="00000000" w:rsidRDefault="001E7653">
            <w:pPr>
              <w:numPr>
                <w:ilvl w:val="0"/>
                <w:numId w:val="16"/>
              </w:numPr>
              <w:spacing w:before="100" w:after="100"/>
              <w:rPr>
                <w:sz w:val="20"/>
              </w:rPr>
            </w:pPr>
            <w:r>
              <w:rPr>
                <w:sz w:val="20"/>
              </w:rPr>
              <w:t>Lockout the service disconnect using an interlocking hasp and padlock</w:t>
            </w:r>
          </w:p>
        </w:tc>
        <w:tc>
          <w:tcPr>
            <w:tcW w:w="2700" w:type="dxa"/>
            <w:vMerge w:val="restart"/>
          </w:tcPr>
          <w:p w:rsidR="00000000" w:rsidRDefault="001E7653">
            <w:pPr>
              <w:numPr>
                <w:ilvl w:val="0"/>
                <w:numId w:val="15"/>
              </w:numPr>
              <w:spacing w:before="100" w:after="100"/>
              <w:rPr>
                <w:sz w:val="20"/>
              </w:rPr>
            </w:pPr>
            <w:r>
              <w:rPr>
                <w:sz w:val="20"/>
              </w:rPr>
              <w:t xml:space="preserve">Switch the </w:t>
            </w:r>
            <w:r>
              <w:rPr>
                <w:b/>
                <w:sz w:val="20"/>
              </w:rPr>
              <w:t>ON/OFF</w:t>
            </w:r>
            <w:r>
              <w:rPr>
                <w:sz w:val="20"/>
              </w:rPr>
              <w:t xml:space="preserve"> control to the </w:t>
            </w:r>
            <w:r>
              <w:rPr>
                <w:b/>
                <w:sz w:val="20"/>
              </w:rPr>
              <w:t xml:space="preserve">ON </w:t>
            </w:r>
            <w:r>
              <w:rPr>
                <w:sz w:val="20"/>
              </w:rPr>
              <w:t>position. Observe that the machine is not operational.</w:t>
            </w:r>
          </w:p>
          <w:p w:rsidR="00000000" w:rsidRDefault="001E7653">
            <w:pPr>
              <w:numPr>
                <w:ilvl w:val="0"/>
                <w:numId w:val="15"/>
              </w:numPr>
              <w:spacing w:before="100" w:after="100"/>
              <w:rPr>
                <w:sz w:val="20"/>
              </w:rPr>
            </w:pPr>
            <w:r>
              <w:rPr>
                <w:sz w:val="20"/>
              </w:rPr>
              <w:t xml:space="preserve">Return the </w:t>
            </w:r>
            <w:r>
              <w:rPr>
                <w:b/>
                <w:sz w:val="20"/>
              </w:rPr>
              <w:t>ON/OFF</w:t>
            </w:r>
            <w:r>
              <w:rPr>
                <w:sz w:val="20"/>
              </w:rPr>
              <w:t xml:space="preserve"> control to the </w:t>
            </w:r>
            <w:r>
              <w:rPr>
                <w:b/>
                <w:sz w:val="20"/>
              </w:rPr>
              <w:t xml:space="preserve">OFF </w:t>
            </w:r>
            <w:r>
              <w:rPr>
                <w:sz w:val="20"/>
              </w:rPr>
              <w:t>position.</w:t>
            </w:r>
          </w:p>
          <w:p w:rsidR="00000000" w:rsidRDefault="001E7653">
            <w:pPr>
              <w:spacing w:before="100" w:after="100"/>
              <w:ind w:left="342"/>
              <w:rPr>
                <w:sz w:val="20"/>
              </w:rPr>
            </w:pPr>
            <w:r>
              <w:rPr>
                <w:sz w:val="20"/>
              </w:rPr>
              <w:t>or</w:t>
            </w:r>
          </w:p>
          <w:p w:rsidR="00000000" w:rsidRDefault="001E7653">
            <w:pPr>
              <w:numPr>
                <w:ilvl w:val="0"/>
                <w:numId w:val="19"/>
              </w:numPr>
              <w:spacing w:before="100" w:after="100"/>
              <w:rPr>
                <w:sz w:val="20"/>
              </w:rPr>
            </w:pPr>
            <w:r>
              <w:rPr>
                <w:sz w:val="20"/>
              </w:rPr>
              <w:t>Test for no voltage, phase-to-</w:t>
            </w:r>
            <w:r>
              <w:rPr>
                <w:sz w:val="20"/>
              </w:rPr>
              <w:t>phase and phase-to-ground.</w:t>
            </w:r>
          </w:p>
        </w:tc>
        <w:tc>
          <w:tcPr>
            <w:tcW w:w="2520" w:type="dxa"/>
            <w:vMerge w:val="restart"/>
            <w:tcBorders>
              <w:right w:val="nil"/>
            </w:tcBorders>
          </w:tcPr>
          <w:p w:rsidR="00000000" w:rsidRDefault="001E7653">
            <w:pPr>
              <w:numPr>
                <w:ilvl w:val="0"/>
                <w:numId w:val="15"/>
              </w:numPr>
              <w:spacing w:before="100" w:after="100"/>
              <w:rPr>
                <w:sz w:val="20"/>
              </w:rPr>
            </w:pPr>
            <w:r>
              <w:rPr>
                <w:sz w:val="20"/>
              </w:rPr>
              <w:t>Ensure machine components are back in place.</w:t>
            </w:r>
          </w:p>
          <w:p w:rsidR="00000000" w:rsidRDefault="001E7653">
            <w:pPr>
              <w:numPr>
                <w:ilvl w:val="0"/>
                <w:numId w:val="15"/>
              </w:numPr>
              <w:spacing w:before="100" w:after="100"/>
              <w:rPr>
                <w:sz w:val="20"/>
              </w:rPr>
            </w:pPr>
            <w:r>
              <w:rPr>
                <w:sz w:val="20"/>
              </w:rPr>
              <w:t>Check the area to ensure tools and nonessential items have been removed.</w:t>
            </w:r>
          </w:p>
          <w:p w:rsidR="00000000" w:rsidRDefault="001E7653">
            <w:pPr>
              <w:numPr>
                <w:ilvl w:val="0"/>
                <w:numId w:val="15"/>
              </w:numPr>
              <w:spacing w:before="100" w:after="100"/>
              <w:rPr>
                <w:sz w:val="20"/>
              </w:rPr>
            </w:pPr>
            <w:r>
              <w:rPr>
                <w:sz w:val="20"/>
              </w:rPr>
              <w:t>Verify all employees are not in the hazard area.</w:t>
            </w:r>
          </w:p>
          <w:p w:rsidR="00000000" w:rsidRDefault="001E7653">
            <w:pPr>
              <w:numPr>
                <w:ilvl w:val="0"/>
                <w:numId w:val="15"/>
              </w:numPr>
              <w:spacing w:before="100" w:after="100"/>
              <w:rPr>
                <w:sz w:val="20"/>
              </w:rPr>
            </w:pPr>
            <w:r>
              <w:rPr>
                <w:sz w:val="20"/>
              </w:rPr>
              <w:t xml:space="preserve">Remove the padlock and hasp from the main isolator disconnect </w:t>
            </w:r>
            <w:r>
              <w:rPr>
                <w:sz w:val="20"/>
              </w:rPr>
              <w:t xml:space="preserve">and return to the </w:t>
            </w:r>
            <w:r>
              <w:rPr>
                <w:b/>
                <w:sz w:val="20"/>
              </w:rPr>
              <w:t>ON</w:t>
            </w:r>
            <w:r>
              <w:rPr>
                <w:sz w:val="20"/>
              </w:rPr>
              <w:t xml:space="preserve"> position.</w:t>
            </w:r>
          </w:p>
        </w:tc>
      </w:tr>
      <w:tr w:rsidR="00000000">
        <w:tblPrEx>
          <w:tblCellMar>
            <w:top w:w="0" w:type="dxa"/>
            <w:bottom w:w="0" w:type="dxa"/>
          </w:tblCellMar>
        </w:tblPrEx>
        <w:trPr>
          <w:cantSplit/>
          <w:trHeight w:val="2120"/>
        </w:trPr>
        <w:tc>
          <w:tcPr>
            <w:tcW w:w="1098" w:type="dxa"/>
            <w:tcBorders>
              <w:left w:val="nil"/>
            </w:tcBorders>
          </w:tcPr>
          <w:p w:rsidR="00000000" w:rsidRDefault="001E7653">
            <w:pPr>
              <w:spacing w:before="100" w:after="100"/>
              <w:rPr>
                <w:sz w:val="20"/>
              </w:rPr>
            </w:pPr>
            <w:r>
              <w:rPr>
                <w:sz w:val="20"/>
              </w:rPr>
              <w:t>Electrical</w:t>
            </w:r>
          </w:p>
        </w:tc>
        <w:tc>
          <w:tcPr>
            <w:tcW w:w="1170" w:type="dxa"/>
          </w:tcPr>
          <w:p w:rsidR="00000000" w:rsidRDefault="001E7653">
            <w:pPr>
              <w:spacing w:before="100" w:after="100"/>
              <w:rPr>
                <w:sz w:val="20"/>
              </w:rPr>
            </w:pPr>
            <w:r>
              <w:rPr>
                <w:sz w:val="20"/>
              </w:rPr>
              <w:t>415 volts</w:t>
            </w:r>
          </w:p>
        </w:tc>
        <w:tc>
          <w:tcPr>
            <w:tcW w:w="2160" w:type="dxa"/>
            <w:vMerge/>
          </w:tcPr>
          <w:p w:rsidR="00000000" w:rsidRDefault="001E7653">
            <w:pPr>
              <w:numPr>
                <w:ilvl w:val="0"/>
                <w:numId w:val="14"/>
              </w:numPr>
              <w:spacing w:before="100" w:after="100"/>
              <w:rPr>
                <w:sz w:val="20"/>
              </w:rPr>
            </w:pPr>
          </w:p>
        </w:tc>
        <w:tc>
          <w:tcPr>
            <w:tcW w:w="2700" w:type="dxa"/>
            <w:vMerge/>
          </w:tcPr>
          <w:p w:rsidR="00000000" w:rsidRDefault="001E7653">
            <w:pPr>
              <w:numPr>
                <w:ilvl w:val="0"/>
                <w:numId w:val="15"/>
              </w:numPr>
              <w:spacing w:before="100" w:after="100"/>
              <w:rPr>
                <w:sz w:val="20"/>
              </w:rPr>
            </w:pPr>
          </w:p>
        </w:tc>
        <w:tc>
          <w:tcPr>
            <w:tcW w:w="2520" w:type="dxa"/>
            <w:vMerge/>
            <w:tcBorders>
              <w:right w:val="nil"/>
            </w:tcBorders>
          </w:tcPr>
          <w:p w:rsidR="00000000" w:rsidRDefault="001E7653">
            <w:pPr>
              <w:numPr>
                <w:ilvl w:val="0"/>
                <w:numId w:val="15"/>
              </w:numPr>
              <w:spacing w:before="100" w:after="100"/>
              <w:rPr>
                <w:sz w:val="20"/>
              </w:rPr>
            </w:pPr>
          </w:p>
        </w:tc>
      </w:tr>
      <w:tr w:rsidR="00000000">
        <w:tblPrEx>
          <w:tblCellMar>
            <w:top w:w="0" w:type="dxa"/>
            <w:bottom w:w="0" w:type="dxa"/>
          </w:tblCellMar>
        </w:tblPrEx>
        <w:tc>
          <w:tcPr>
            <w:tcW w:w="1098" w:type="dxa"/>
            <w:tcBorders>
              <w:left w:val="nil"/>
            </w:tcBorders>
          </w:tcPr>
          <w:p w:rsidR="00000000" w:rsidRDefault="001E7653">
            <w:pPr>
              <w:spacing w:before="100" w:after="100"/>
              <w:rPr>
                <w:sz w:val="20"/>
              </w:rPr>
            </w:pPr>
            <w:r>
              <w:rPr>
                <w:sz w:val="20"/>
              </w:rPr>
              <w:t>Pneumatic</w:t>
            </w:r>
          </w:p>
        </w:tc>
        <w:tc>
          <w:tcPr>
            <w:tcW w:w="1170" w:type="dxa"/>
          </w:tcPr>
          <w:p w:rsidR="00000000" w:rsidRDefault="001E7653">
            <w:pPr>
              <w:spacing w:before="100" w:after="100"/>
              <w:rPr>
                <w:sz w:val="20"/>
              </w:rPr>
            </w:pPr>
            <w:r>
              <w:rPr>
                <w:sz w:val="20"/>
              </w:rPr>
              <w:t>100 PSI</w:t>
            </w:r>
          </w:p>
        </w:tc>
        <w:tc>
          <w:tcPr>
            <w:tcW w:w="2160" w:type="dxa"/>
          </w:tcPr>
          <w:p w:rsidR="00000000" w:rsidRDefault="001E7653">
            <w:pPr>
              <w:numPr>
                <w:ilvl w:val="0"/>
                <w:numId w:val="17"/>
              </w:numPr>
              <w:spacing w:before="100" w:after="100"/>
              <w:rPr>
                <w:sz w:val="20"/>
              </w:rPr>
            </w:pPr>
            <w:r>
              <w:rPr>
                <w:sz w:val="20"/>
              </w:rPr>
              <w:t xml:space="preserve">Rotate the main air valve to the </w:t>
            </w:r>
            <w:r>
              <w:rPr>
                <w:b/>
                <w:sz w:val="20"/>
              </w:rPr>
              <w:t>CLOSED</w:t>
            </w:r>
            <w:r>
              <w:rPr>
                <w:sz w:val="20"/>
              </w:rPr>
              <w:t xml:space="preserve"> position.</w:t>
            </w:r>
          </w:p>
          <w:p w:rsidR="00000000" w:rsidRDefault="001E7653">
            <w:pPr>
              <w:numPr>
                <w:ilvl w:val="0"/>
                <w:numId w:val="17"/>
              </w:numPr>
              <w:spacing w:before="100" w:after="100"/>
              <w:rPr>
                <w:sz w:val="20"/>
              </w:rPr>
            </w:pPr>
            <w:r>
              <w:rPr>
                <w:sz w:val="20"/>
              </w:rPr>
              <w:t>Lockout the valve using a ball-valve lockout, interlocking hasp, and padlock.</w:t>
            </w:r>
          </w:p>
        </w:tc>
        <w:tc>
          <w:tcPr>
            <w:tcW w:w="2700" w:type="dxa"/>
          </w:tcPr>
          <w:p w:rsidR="00000000" w:rsidRDefault="001E7653">
            <w:pPr>
              <w:numPr>
                <w:ilvl w:val="0"/>
                <w:numId w:val="18"/>
              </w:numPr>
              <w:spacing w:before="100" w:after="100"/>
              <w:rPr>
                <w:sz w:val="20"/>
              </w:rPr>
            </w:pPr>
            <w:r>
              <w:rPr>
                <w:sz w:val="20"/>
              </w:rPr>
              <w:t>Observe that the flow of air ceases.</w:t>
            </w:r>
          </w:p>
          <w:p w:rsidR="00000000" w:rsidRDefault="001E7653">
            <w:pPr>
              <w:numPr>
                <w:ilvl w:val="0"/>
                <w:numId w:val="18"/>
              </w:numPr>
              <w:spacing w:before="100" w:after="100"/>
              <w:rPr>
                <w:sz w:val="20"/>
              </w:rPr>
            </w:pPr>
            <w:r>
              <w:rPr>
                <w:sz w:val="20"/>
              </w:rPr>
              <w:t>Bleed off residu</w:t>
            </w:r>
            <w:r>
              <w:rPr>
                <w:sz w:val="20"/>
              </w:rPr>
              <w:t>al air pressure.</w:t>
            </w:r>
          </w:p>
        </w:tc>
        <w:tc>
          <w:tcPr>
            <w:tcW w:w="2520" w:type="dxa"/>
            <w:tcBorders>
              <w:right w:val="nil"/>
            </w:tcBorders>
          </w:tcPr>
          <w:p w:rsidR="00000000" w:rsidRDefault="001E7653">
            <w:pPr>
              <w:numPr>
                <w:ilvl w:val="0"/>
                <w:numId w:val="20"/>
              </w:numPr>
              <w:spacing w:before="100" w:after="100"/>
              <w:rPr>
                <w:sz w:val="20"/>
              </w:rPr>
            </w:pPr>
            <w:r>
              <w:rPr>
                <w:sz w:val="20"/>
              </w:rPr>
              <w:t>Remove the ball valve lockout, interlocking hasp and padlock.</w:t>
            </w:r>
          </w:p>
          <w:p w:rsidR="00000000" w:rsidRDefault="001E7653">
            <w:pPr>
              <w:numPr>
                <w:ilvl w:val="0"/>
                <w:numId w:val="20"/>
              </w:numPr>
              <w:spacing w:before="100" w:after="100"/>
              <w:rPr>
                <w:sz w:val="20"/>
              </w:rPr>
            </w:pPr>
            <w:r>
              <w:rPr>
                <w:sz w:val="20"/>
              </w:rPr>
              <w:t xml:space="preserve">Rotate the air valve to the </w:t>
            </w:r>
            <w:r>
              <w:rPr>
                <w:b/>
                <w:sz w:val="20"/>
              </w:rPr>
              <w:t xml:space="preserve">OPEN </w:t>
            </w:r>
            <w:r>
              <w:rPr>
                <w:sz w:val="20"/>
              </w:rPr>
              <w:t>position.</w:t>
            </w:r>
          </w:p>
          <w:p w:rsidR="00000000" w:rsidRDefault="001E7653">
            <w:pPr>
              <w:spacing w:before="100" w:after="100"/>
              <w:rPr>
                <w:sz w:val="20"/>
              </w:rPr>
            </w:pPr>
          </w:p>
        </w:tc>
      </w:tr>
      <w:tr w:rsidR="00000000">
        <w:tblPrEx>
          <w:tblCellMar>
            <w:top w:w="0" w:type="dxa"/>
            <w:bottom w:w="0" w:type="dxa"/>
          </w:tblCellMar>
        </w:tblPrEx>
        <w:trPr>
          <w:cantSplit/>
        </w:trPr>
        <w:tc>
          <w:tcPr>
            <w:tcW w:w="9648" w:type="dxa"/>
            <w:gridSpan w:val="5"/>
            <w:tcBorders>
              <w:left w:val="nil"/>
              <w:right w:val="nil"/>
            </w:tcBorders>
          </w:tcPr>
          <w:p w:rsidR="00000000" w:rsidRDefault="001E7653">
            <w:pPr>
              <w:spacing w:before="100" w:after="100"/>
              <w:jc w:val="center"/>
              <w:rPr>
                <w:b/>
                <w:color w:val="FF0000"/>
                <w:sz w:val="20"/>
              </w:rPr>
            </w:pPr>
            <w:r>
              <w:rPr>
                <w:b/>
                <w:color w:val="FF0000"/>
                <w:sz w:val="20"/>
              </w:rPr>
              <w:t>Notify all affected employees that the maintenance is complete and the machine is available for use.</w:t>
            </w:r>
          </w:p>
        </w:tc>
      </w:tr>
    </w:tbl>
    <w:p w:rsidR="00000000" w:rsidRDefault="001E7653"/>
    <w:sectPr w:rsidR="00000000">
      <w:footerReference w:type="defaul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7653">
      <w:r>
        <w:separator/>
      </w:r>
    </w:p>
  </w:endnote>
  <w:endnote w:type="continuationSeparator" w:id="0">
    <w:p w:rsidR="00000000" w:rsidRDefault="001E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7653">
    <w:pPr>
      <w:pStyle w:val="Footer"/>
      <w:rPr>
        <w:sz w:val="18"/>
      </w:rPr>
    </w:pPr>
    <w:r>
      <w:rPr>
        <w:sz w:val="18"/>
      </w:rPr>
      <w:fldChar w:fldCharType="begin"/>
    </w:r>
    <w:r>
      <w:rPr>
        <w:sz w:val="18"/>
      </w:rPr>
      <w:instrText xml:space="preserve"> FILENAME \p  \* MERGEFORMAT</w:instrText>
    </w:r>
    <w:r>
      <w:rPr>
        <w:sz w:val="18"/>
      </w:rPr>
      <w:instrText xml:space="preserve"> </w:instrText>
    </w:r>
    <w:r>
      <w:rPr>
        <w:sz w:val="18"/>
      </w:rPr>
      <w:fldChar w:fldCharType="separate"/>
    </w:r>
    <w:r>
      <w:rPr>
        <w:noProof/>
        <w:sz w:val="18"/>
      </w:rPr>
      <w:t>Rosie 1:Users:admin:Desktop:hazard:Docs:example_procedure.doc</w:t>
    </w:r>
    <w:r>
      <w:rPr>
        <w:sz w:val="18"/>
      </w:rPr>
      <w:fldChar w:fldCharType="end"/>
    </w:r>
  </w:p>
  <w:p w:rsidR="00000000" w:rsidRDefault="001E7653">
    <w:pPr>
      <w:pStyle w:val="Footer"/>
      <w:rPr>
        <w:sz w:val="18"/>
      </w:rPr>
    </w:pPr>
    <w:r>
      <w:rPr>
        <w:sz w:val="18"/>
      </w:rP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E7653">
      <w:r>
        <w:separator/>
      </w:r>
    </w:p>
  </w:footnote>
  <w:footnote w:type="continuationSeparator" w:id="0">
    <w:p w:rsidR="00000000" w:rsidRDefault="001E7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EA3E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90FC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0A50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4E0716"/>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6374CD6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3C4F5C8"/>
    <w:lvl w:ilvl="0">
      <w:start w:val="1"/>
      <w:numFmt w:val="decimal"/>
      <w:lvlText w:val="%1."/>
      <w:lvlJc w:val="left"/>
      <w:pPr>
        <w:tabs>
          <w:tab w:val="num" w:pos="360"/>
        </w:tabs>
        <w:ind w:left="360" w:hanging="360"/>
      </w:pPr>
    </w:lvl>
  </w:abstractNum>
  <w:abstractNum w:abstractNumId="6" w15:restartNumberingAfterBreak="0">
    <w:nsid w:val="0E935A0A"/>
    <w:multiLevelType w:val="multilevel"/>
    <w:tmpl w:val="6D8E691E"/>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69"/>
        </w:tabs>
        <w:ind w:left="1440" w:hanging="331"/>
      </w:pPr>
    </w:lvl>
    <w:lvl w:ilvl="4">
      <w:start w:val="1"/>
      <w:numFmt w:val="lowerRoman"/>
      <w:pStyle w:val="ListNumber5"/>
      <w:lvlText w:val="(%5)"/>
      <w:lvlJc w:val="right"/>
      <w:pPr>
        <w:tabs>
          <w:tab w:val="num" w:pos="1829"/>
        </w:tabs>
        <w:ind w:left="1829" w:hanging="101"/>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7" w15:restartNumberingAfterBreak="0">
    <w:nsid w:val="23B16907"/>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9A1351"/>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D724BD"/>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591093"/>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D32A5D"/>
    <w:multiLevelType w:val="multilevel"/>
    <w:tmpl w:val="86D2CD68"/>
    <w:lvl w:ilvl="0">
      <w:start w:val="1"/>
      <w:numFmt w:val="decimal"/>
      <w:pStyle w:val="ListNumber5"/>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right"/>
      <w:pPr>
        <w:ind w:left="1800" w:hanging="72"/>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2" w15:restartNumberingAfterBreak="0">
    <w:nsid w:val="53CC7864"/>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403A98"/>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4872D2"/>
    <w:multiLevelType w:val="singleLevel"/>
    <w:tmpl w:val="54FCB00E"/>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4"/>
  </w:num>
  <w:num w:numId="3">
    <w:abstractNumId w:val="5"/>
  </w:num>
  <w:num w:numId="4">
    <w:abstractNumId w:val="11"/>
  </w:num>
  <w:num w:numId="5">
    <w:abstractNumId w:val="3"/>
  </w:num>
  <w:num w:numId="6">
    <w:abstractNumId w:val="11"/>
  </w:num>
  <w:num w:numId="7">
    <w:abstractNumId w:val="2"/>
  </w:num>
  <w:num w:numId="8">
    <w:abstractNumId w:val="11"/>
  </w:num>
  <w:num w:numId="9">
    <w:abstractNumId w:val="1"/>
  </w:num>
  <w:num w:numId="10">
    <w:abstractNumId w:val="11"/>
  </w:num>
  <w:num w:numId="11">
    <w:abstractNumId w:val="0"/>
  </w:num>
  <w:num w:numId="12">
    <w:abstractNumId w:val="11"/>
  </w:num>
  <w:num w:numId="13">
    <w:abstractNumId w:val="6"/>
  </w:num>
  <w:num w:numId="14">
    <w:abstractNumId w:val="12"/>
  </w:num>
  <w:num w:numId="15">
    <w:abstractNumId w:val="13"/>
  </w:num>
  <w:num w:numId="16">
    <w:abstractNumId w:val="7"/>
  </w:num>
  <w:num w:numId="17">
    <w:abstractNumId w:val="14"/>
  </w:num>
  <w:num w:numId="18">
    <w:abstractNumId w:val="10"/>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53"/>
    <w:rsid w:val="001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06E8CC2-57B7-4A6C-936B-9EEC4C1B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spacing w:before="100" w:after="100"/>
      <w:jc w:val="center"/>
      <w:outlineLvl w:val="3"/>
    </w:pPr>
    <w:rPr>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13"/>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styleId="ListNumber5">
    <w:name w:val="List Number 5"/>
    <w:basedOn w:val="Normal"/>
    <w:semiHidden/>
    <w:pPr>
      <w:numPr>
        <w:ilvl w:val="4"/>
        <w:numId w:val="13"/>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BodyText">
    <w:name w:val="Body Text"/>
    <w:basedOn w:val="Normal"/>
    <w:semiHidden/>
    <w:pPr>
      <w:spacing w:after="240"/>
    </w:pPr>
    <w:rPr>
      <w:i/>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0E0D5B12-5741-4082-AB04-5BBCC950EC96}"/>
</file>

<file path=customXml/itemProps2.xml><?xml version="1.0" encoding="utf-8"?>
<ds:datastoreItem xmlns:ds="http://schemas.openxmlformats.org/officeDocument/2006/customXml" ds:itemID="{7261C674-D7D8-45CC-BF17-156F65F2DE26}"/>
</file>

<file path=customXml/itemProps3.xml><?xml version="1.0" encoding="utf-8"?>
<ds:datastoreItem xmlns:ds="http://schemas.openxmlformats.org/officeDocument/2006/customXml" ds:itemID="{E3E88053-21F0-48A9-979B-91EA2D8FB509}"/>
</file>

<file path=docProps/app.xml><?xml version="1.0" encoding="utf-8"?>
<Properties xmlns="http://schemas.openxmlformats.org/officeDocument/2006/extended-properties" xmlns:vt="http://schemas.openxmlformats.org/officeDocument/2006/docPropsVTypes">
  <Template>FB8B5203.dotm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Example for documenting a specific energy-control procedure</vt:lpstr>
    </vt:vector>
  </TitlesOfParts>
  <Company>DCBS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Energy-control (specific) procedure example for documenting</dc:title>
  <dc:subject/>
  <dc:creator>Ellis Brasch</dc:creator>
  <cp:keywords/>
  <dc:description/>
  <cp:lastModifiedBy>Diane Shaw </cp:lastModifiedBy>
  <cp:revision>2</cp:revision>
  <cp:lastPrinted>2005-11-02T17:02:00Z</cp:lastPrinted>
  <dcterms:created xsi:type="dcterms:W3CDTF">2018-11-13T22:29:00Z</dcterms:created>
  <dcterms:modified xsi:type="dcterms:W3CDTF">2018-11-13T22:29:00Z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0x01010058E001AC123BB249AF29BBAA5747728D</vt:lpwstr>
  </property>
  <property fmtid="{D5CDD505-2E9C-101B-9397-08002B2CF9AE}" pid="3" name="Description1">
    <vt:lpwstr>Form of an example for documenting a specific energy-control procedure.</vt:lpwstr>
  </property>
  <property fmtid="{D5CDD505-2E9C-101B-9397-08002B2CF9AE}" pid="5" name="Language">
    <vt:lpwstr>English</vt:lpwstr>
  </property>
  <property fmtid="{D5CDD505-2E9C-101B-9397-08002B2CF9AE}" pid="8" name="DateRevised">
    <vt:filetime>2014-10-31T07:00:00Z</vt:filetime>
  </property>
  <property fmtid="{D5CDD505-2E9C-101B-9397-08002B2CF9AE}" pid="10" name="Order">
    <vt:r8>64000</vt:r8>
  </property>
  <property fmtid="{D5CDD505-2E9C-101B-9397-08002B2CF9AE}" pid="12" name="URL">
    <vt:lpwstr/>
  </property>
  <property fmtid="{D5CDD505-2E9C-101B-9397-08002B2CF9AE}" pid="13" name="_Publisher">
    <vt:lpwstr/>
  </property>
  <property fmtid="{D5CDD505-2E9C-101B-9397-08002B2CF9AE}" pid="14" name="ExternalLink">
    <vt:lpwstr/>
  </property>
  <property fmtid="{D5CDD505-2E9C-101B-9397-08002B2CF9AE}" pid="15" name="AdditionalTitle">
    <vt:lpwstr/>
  </property>
  <property fmtid="{D5CDD505-2E9C-101B-9397-08002B2CF9AE}" pid="16" name="Thumbnail1">
    <vt:lpwstr/>
  </property>
</Properties>
</file>