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E5" w:rsidRPr="006355B3" w:rsidRDefault="004076E5" w:rsidP="004076E5">
      <w:pPr>
        <w:pStyle w:val="Heading1"/>
        <w:rPr>
          <w:sz w:val="28"/>
          <w:szCs w:val="28"/>
        </w:rPr>
      </w:pPr>
      <w:r w:rsidRPr="006355B3">
        <w:rPr>
          <w:sz w:val="28"/>
          <w:szCs w:val="28"/>
        </w:rPr>
        <w:t>Summary of Comments and Agency Decisions</w:t>
      </w:r>
    </w:p>
    <w:p w:rsidR="004076E5" w:rsidRDefault="004076E5" w:rsidP="004076E5"/>
    <w:p w:rsidR="004076E5" w:rsidRDefault="004076E5" w:rsidP="004076E5">
      <w:pPr>
        <w:pStyle w:val="Heading2"/>
      </w:pPr>
      <w:r>
        <w:t xml:space="preserve">Title: Division </w:t>
      </w:r>
      <w:r w:rsidR="00CB4A48">
        <w:t>3</w:t>
      </w:r>
      <w:r>
        <w:t xml:space="preserve">, </w:t>
      </w:r>
      <w:r w:rsidR="00CB4A48">
        <w:t xml:space="preserve">Construction </w:t>
      </w:r>
      <w:r>
        <w:t xml:space="preserve">– </w:t>
      </w:r>
      <w:r w:rsidR="00CB4A48">
        <w:t>Sub. E (Personal Protective Equipment</w:t>
      </w:r>
      <w:r w:rsidR="000910EB">
        <w:t>, Fall Protection</w:t>
      </w:r>
      <w:r w:rsidR="00CB4A48">
        <w:t xml:space="preserve">) and </w:t>
      </w:r>
      <w:r>
        <w:t>Sub</w:t>
      </w:r>
      <w:r w:rsidR="009719C5">
        <w:t xml:space="preserve">. </w:t>
      </w:r>
      <w:r w:rsidR="00CB4A48">
        <w:t>M (</w:t>
      </w:r>
      <w:r>
        <w:t>F</w:t>
      </w:r>
      <w:r w:rsidR="00CB4A48">
        <w:t>all Protection</w:t>
      </w:r>
      <w:r w:rsidR="000910EB">
        <w:t>, General Trigger Height</w:t>
      </w:r>
      <w:r w:rsidR="00CB4A48">
        <w:t>)</w:t>
      </w:r>
    </w:p>
    <w:p w:rsidR="004076E5" w:rsidRPr="00B83D67" w:rsidRDefault="004076E5" w:rsidP="00B83D67">
      <w:pPr>
        <w:pStyle w:val="Heading2"/>
        <w:rPr>
          <w:rFonts w:asciiTheme="minorHAnsi" w:hAnsiTheme="minorHAnsi" w:cs="Helvetica"/>
          <w:color w:val="333333"/>
          <w:lang w:val="en"/>
        </w:rPr>
      </w:pPr>
      <w:r>
        <w:t>Administrative Order Number</w:t>
      </w:r>
      <w:r w:rsidRPr="00B83D67">
        <w:t xml:space="preserve">: </w:t>
      </w:r>
      <w:r w:rsidR="00D232C1" w:rsidRPr="00B83D67">
        <w:rPr>
          <w:rFonts w:asciiTheme="minorHAnsi" w:hAnsiTheme="minorHAnsi" w:cs="Helvetica"/>
          <w:lang w:val="en"/>
        </w:rPr>
        <w:t>1-2016</w:t>
      </w:r>
    </w:p>
    <w:p w:rsidR="004076E5" w:rsidRPr="00B83D67" w:rsidRDefault="002E5772" w:rsidP="004076E5">
      <w:pPr>
        <w:pStyle w:val="Heading2"/>
      </w:pPr>
      <w:r>
        <w:t xml:space="preserve">Adopted Date: </w:t>
      </w:r>
      <w:r w:rsidR="00B83D67">
        <w:t xml:space="preserve">March </w:t>
      </w:r>
      <w:r w:rsidR="00B83D67" w:rsidRPr="000910EB">
        <w:rPr>
          <w:rFonts w:asciiTheme="minorHAnsi" w:hAnsiTheme="minorHAnsi" w:cs="Helvetica"/>
          <w:lang w:val="en"/>
        </w:rPr>
        <w:t>1</w:t>
      </w:r>
      <w:r w:rsidR="00B83D67" w:rsidRPr="00B83D67">
        <w:rPr>
          <w:rFonts w:asciiTheme="minorHAnsi" w:hAnsiTheme="minorHAnsi" w:cs="Helvetica"/>
          <w:lang w:val="en"/>
        </w:rPr>
        <w:t>, 2016</w:t>
      </w:r>
    </w:p>
    <w:p w:rsidR="004076E5" w:rsidRPr="00B83D67" w:rsidRDefault="004076E5" w:rsidP="004076E5">
      <w:pPr>
        <w:pStyle w:val="Heading2"/>
      </w:pPr>
      <w:r w:rsidRPr="00B83D67">
        <w:t xml:space="preserve">Effective Date: </w:t>
      </w:r>
      <w:r w:rsidR="00B83D67" w:rsidRPr="00B83D67">
        <w:rPr>
          <w:rFonts w:asciiTheme="minorHAnsi" w:hAnsiTheme="minorHAnsi" w:cs="Helvetica"/>
          <w:lang w:val="en"/>
        </w:rPr>
        <w:t>January 1, 2017</w:t>
      </w:r>
    </w:p>
    <w:p w:rsidR="009719C5" w:rsidRDefault="009719C5"/>
    <w:p w:rsidR="006730D5" w:rsidRPr="005E297B" w:rsidRDefault="00D06559" w:rsidP="0087638B">
      <w:pPr>
        <w:rPr>
          <w:rFonts w:asciiTheme="majorHAnsi" w:hAnsiTheme="majorHAnsi" w:cs="Arial"/>
          <w:b/>
          <w:sz w:val="22"/>
          <w:u w:val="single"/>
        </w:rPr>
      </w:pPr>
      <w:r w:rsidRPr="005E297B">
        <w:rPr>
          <w:rFonts w:asciiTheme="majorHAnsi" w:hAnsiTheme="majorHAnsi" w:cs="Arial"/>
          <w:b/>
          <w:sz w:val="22"/>
          <w:u w:val="single"/>
        </w:rPr>
        <w:t>Background</w:t>
      </w:r>
      <w:r w:rsidR="009719C5" w:rsidRPr="005E297B">
        <w:rPr>
          <w:rFonts w:asciiTheme="majorHAnsi" w:hAnsiTheme="majorHAnsi" w:cs="Arial"/>
          <w:b/>
          <w:sz w:val="22"/>
          <w:u w:val="single"/>
        </w:rPr>
        <w:t>:</w:t>
      </w:r>
    </w:p>
    <w:p w:rsidR="003F4650" w:rsidRDefault="003F4650" w:rsidP="0087638B">
      <w:pPr>
        <w:tabs>
          <w:tab w:val="left" w:pos="360"/>
          <w:tab w:val="right" w:pos="2700"/>
        </w:tabs>
        <w:rPr>
          <w:rFonts w:asciiTheme="majorHAnsi" w:hAnsiTheme="majorHAnsi" w:cs="Arial"/>
          <w:sz w:val="22"/>
        </w:rPr>
      </w:pPr>
    </w:p>
    <w:p w:rsidR="00DD03BC" w:rsidRDefault="0062529F" w:rsidP="00DD03BC">
      <w:pPr>
        <w:tabs>
          <w:tab w:val="left" w:pos="360"/>
          <w:tab w:val="right" w:pos="2700"/>
        </w:tabs>
        <w:rPr>
          <w:rFonts w:asciiTheme="majorHAnsi" w:eastAsia="Times" w:hAnsiTheme="majorHAnsi" w:cs="Arial"/>
          <w:color w:val="000000"/>
          <w:sz w:val="22"/>
        </w:rPr>
      </w:pPr>
      <w:r w:rsidRPr="003A0DF4">
        <w:rPr>
          <w:rFonts w:asciiTheme="majorHAnsi" w:eastAsiaTheme="minorHAnsi" w:hAnsiTheme="majorHAnsi" w:cs="ArialMT"/>
          <w:sz w:val="22"/>
        </w:rPr>
        <w:t xml:space="preserve">In November of 2015, Oregon OSHA proposed to revise the general fall protection requirements covered under Division 3 (Construction Industry), Subdivisions 3/M (Fall Protection), as requested by federal OSHA. </w:t>
      </w:r>
      <w:r w:rsidR="00DD03BC" w:rsidRPr="00DD03BC">
        <w:rPr>
          <w:rFonts w:asciiTheme="majorHAnsi" w:eastAsia="Times" w:hAnsiTheme="majorHAnsi" w:cs="Arial"/>
          <w:color w:val="000000"/>
          <w:sz w:val="22"/>
        </w:rPr>
        <w:t xml:space="preserve">The proposed revisions to Subdivision 3/M, include amending the 10-foot general trigger height for fall protection to 6 feet, and </w:t>
      </w:r>
      <w:r w:rsidR="00DD03BC" w:rsidRPr="00DD03BC">
        <w:rPr>
          <w:rFonts w:asciiTheme="majorHAnsi" w:eastAsia="Times" w:hAnsiTheme="majorHAnsi" w:cs="Arial"/>
          <w:sz w:val="22"/>
        </w:rPr>
        <w:t>revoking the use of slide guards as a sole or primary fall protection system</w:t>
      </w:r>
      <w:r w:rsidR="00DD03BC" w:rsidRPr="00DD03BC">
        <w:rPr>
          <w:rFonts w:asciiTheme="majorHAnsi" w:eastAsia="Times" w:hAnsiTheme="majorHAnsi" w:cs="Arial"/>
          <w:color w:val="000000"/>
          <w:sz w:val="22"/>
        </w:rPr>
        <w:t xml:space="preserve">. Fall protection and falling object protection requirements </w:t>
      </w:r>
      <w:bookmarkStart w:id="0" w:name="_GoBack"/>
      <w:bookmarkEnd w:id="0"/>
      <w:r w:rsidR="00DD03BC" w:rsidRPr="00DD03BC">
        <w:rPr>
          <w:rFonts w:asciiTheme="majorHAnsi" w:eastAsia="Times" w:hAnsiTheme="majorHAnsi" w:cs="Arial"/>
          <w:color w:val="000000"/>
          <w:sz w:val="22"/>
        </w:rPr>
        <w:t>currently under 437-003-1501(1) through (5) were removed due to redundancy or revised and renumbered for clarification as a result of this rulemaking.</w:t>
      </w:r>
      <w:r w:rsidR="00DD03BC">
        <w:rPr>
          <w:rFonts w:asciiTheme="majorHAnsi" w:eastAsia="Times" w:hAnsiTheme="majorHAnsi" w:cs="Arial"/>
          <w:color w:val="000000"/>
          <w:sz w:val="22"/>
        </w:rPr>
        <w:t xml:space="preserve"> </w:t>
      </w:r>
      <w:r w:rsidR="00DD03BC" w:rsidRPr="00DD03BC">
        <w:rPr>
          <w:rFonts w:asciiTheme="majorHAnsi" w:eastAsia="Times" w:hAnsiTheme="majorHAnsi" w:cs="Arial"/>
          <w:color w:val="000000"/>
          <w:sz w:val="22"/>
        </w:rPr>
        <w:t>The proposed revisions to Subdivision 3/E, include repealing 437-003-0134(5)(a), which has a 10-foot general fall protection trigger height requirement, due to redundancy, and revises and renumbers 437-003-0134(5)(b) for clarification.</w:t>
      </w:r>
    </w:p>
    <w:p w:rsidR="002F1425" w:rsidRDefault="002F1425" w:rsidP="00DD03BC">
      <w:pPr>
        <w:tabs>
          <w:tab w:val="left" w:pos="360"/>
          <w:tab w:val="right" w:pos="2700"/>
        </w:tabs>
        <w:rPr>
          <w:rFonts w:asciiTheme="majorHAnsi" w:eastAsia="Times" w:hAnsiTheme="majorHAnsi" w:cs="Arial"/>
          <w:color w:val="000000"/>
          <w:sz w:val="22"/>
        </w:rPr>
      </w:pPr>
    </w:p>
    <w:p w:rsidR="002F1425" w:rsidRPr="00DD03BC" w:rsidRDefault="002F1425" w:rsidP="002F1425">
      <w:pPr>
        <w:tabs>
          <w:tab w:val="left" w:pos="360"/>
          <w:tab w:val="right" w:pos="2700"/>
        </w:tabs>
        <w:rPr>
          <w:rFonts w:asciiTheme="majorHAnsi" w:eastAsia="Times" w:hAnsiTheme="majorHAnsi" w:cs="Arial"/>
          <w:sz w:val="22"/>
        </w:rPr>
      </w:pPr>
      <w:r>
        <w:rPr>
          <w:rFonts w:asciiTheme="majorHAnsi" w:eastAsia="Times" w:hAnsiTheme="majorHAnsi" w:cs="Arial"/>
          <w:color w:val="000000"/>
          <w:sz w:val="22"/>
        </w:rPr>
        <w:t xml:space="preserve">This Summary of Comments and Agency Decisions pertains only to the proposed revisions to Subdivision 3/M, general trigger height and falling object protection, and </w:t>
      </w:r>
      <w:r w:rsidRPr="00DD03BC">
        <w:rPr>
          <w:rFonts w:asciiTheme="majorHAnsi" w:eastAsia="Times" w:hAnsiTheme="majorHAnsi" w:cs="Arial"/>
          <w:color w:val="000000"/>
          <w:sz w:val="22"/>
        </w:rPr>
        <w:t>Subdivision 3/E</w:t>
      </w:r>
      <w:r>
        <w:rPr>
          <w:rFonts w:asciiTheme="majorHAnsi" w:eastAsia="Times" w:hAnsiTheme="majorHAnsi" w:cs="Arial"/>
          <w:color w:val="000000"/>
          <w:sz w:val="22"/>
        </w:rPr>
        <w:t xml:space="preserve"> , fall protection.</w:t>
      </w:r>
    </w:p>
    <w:p w:rsidR="002F1425" w:rsidRPr="00DD03BC" w:rsidRDefault="002F1425" w:rsidP="00DD03BC">
      <w:pPr>
        <w:tabs>
          <w:tab w:val="left" w:pos="360"/>
          <w:tab w:val="right" w:pos="2700"/>
        </w:tabs>
        <w:rPr>
          <w:rFonts w:asciiTheme="majorHAnsi" w:eastAsia="Times" w:hAnsiTheme="majorHAnsi" w:cs="Arial"/>
          <w:sz w:val="22"/>
        </w:rPr>
      </w:pPr>
    </w:p>
    <w:p w:rsidR="00840108" w:rsidRPr="005E297B" w:rsidRDefault="003116D3" w:rsidP="0087638B">
      <w:pPr>
        <w:tabs>
          <w:tab w:val="left" w:pos="360"/>
          <w:tab w:val="right" w:pos="2700"/>
        </w:tabs>
        <w:rPr>
          <w:rFonts w:asciiTheme="majorHAnsi" w:eastAsia="Times" w:hAnsiTheme="majorHAnsi" w:cs="Arial"/>
          <w:b/>
          <w:sz w:val="22"/>
          <w:u w:val="single"/>
        </w:rPr>
      </w:pPr>
      <w:r>
        <w:rPr>
          <w:rFonts w:asciiTheme="majorHAnsi" w:eastAsia="Times" w:hAnsiTheme="majorHAnsi" w:cs="Arial"/>
          <w:b/>
          <w:sz w:val="22"/>
          <w:u w:val="single"/>
        </w:rPr>
        <w:t xml:space="preserve">Summary of </w:t>
      </w:r>
      <w:r w:rsidR="00714FD3" w:rsidRPr="005E297B">
        <w:rPr>
          <w:rFonts w:asciiTheme="majorHAnsi" w:eastAsia="Times" w:hAnsiTheme="majorHAnsi" w:cs="Arial"/>
          <w:b/>
          <w:sz w:val="22"/>
          <w:u w:val="single"/>
        </w:rPr>
        <w:t xml:space="preserve">Comments and </w:t>
      </w:r>
      <w:r>
        <w:rPr>
          <w:rFonts w:asciiTheme="majorHAnsi" w:eastAsia="Times" w:hAnsiTheme="majorHAnsi" w:cs="Arial"/>
          <w:b/>
          <w:sz w:val="22"/>
          <w:u w:val="single"/>
        </w:rPr>
        <w:t xml:space="preserve">Agency </w:t>
      </w:r>
      <w:r w:rsidR="00714FD3" w:rsidRPr="005E297B">
        <w:rPr>
          <w:rFonts w:asciiTheme="majorHAnsi" w:eastAsia="Times" w:hAnsiTheme="majorHAnsi" w:cs="Arial"/>
          <w:b/>
          <w:sz w:val="22"/>
          <w:u w:val="single"/>
        </w:rPr>
        <w:t>Decisions</w:t>
      </w:r>
      <w:r w:rsidR="00C30B43" w:rsidRPr="005E297B">
        <w:rPr>
          <w:rFonts w:asciiTheme="majorHAnsi" w:eastAsia="Times" w:hAnsiTheme="majorHAnsi" w:cs="Arial"/>
          <w:b/>
          <w:sz w:val="22"/>
          <w:u w:val="single"/>
        </w:rPr>
        <w:t>:</w:t>
      </w:r>
    </w:p>
    <w:p w:rsidR="004B6D63" w:rsidRPr="00294437" w:rsidRDefault="004B6D63" w:rsidP="004B6D63">
      <w:pPr>
        <w:tabs>
          <w:tab w:val="left" w:pos="360"/>
          <w:tab w:val="right" w:pos="2700"/>
        </w:tabs>
        <w:rPr>
          <w:rFonts w:asciiTheme="majorHAnsi" w:eastAsia="Times New Roman" w:hAnsiTheme="majorHAnsi" w:cs="Arial"/>
          <w:b/>
          <w:sz w:val="22"/>
        </w:rPr>
      </w:pPr>
      <w:r w:rsidRPr="00294437">
        <w:rPr>
          <w:rFonts w:asciiTheme="majorHAnsi" w:eastAsia="Times New Roman" w:hAnsiTheme="majorHAnsi" w:cs="Arial"/>
          <w:b/>
          <w:sz w:val="22"/>
        </w:rPr>
        <w:t xml:space="preserve">(Please note that agency decisions are conveyed in </w:t>
      </w:r>
      <w:r w:rsidRPr="00294437">
        <w:rPr>
          <w:rFonts w:asciiTheme="majorHAnsi" w:eastAsia="Times New Roman" w:hAnsiTheme="majorHAnsi" w:cs="Arial"/>
          <w:b/>
          <w:i/>
          <w:sz w:val="22"/>
        </w:rPr>
        <w:t>italics</w:t>
      </w:r>
      <w:r w:rsidRPr="00294437">
        <w:rPr>
          <w:rFonts w:asciiTheme="majorHAnsi" w:eastAsia="Times New Roman" w:hAnsiTheme="majorHAnsi" w:cs="Arial"/>
          <w:b/>
          <w:sz w:val="22"/>
        </w:rPr>
        <w:t xml:space="preserve">, and a list of </w:t>
      </w:r>
      <w:r>
        <w:rPr>
          <w:rFonts w:asciiTheme="majorHAnsi" w:eastAsia="Times New Roman" w:hAnsiTheme="majorHAnsi" w:cs="Arial"/>
          <w:b/>
          <w:sz w:val="22"/>
        </w:rPr>
        <w:t xml:space="preserve">the </w:t>
      </w:r>
      <w:r w:rsidRPr="00294437">
        <w:rPr>
          <w:rFonts w:asciiTheme="majorHAnsi" w:eastAsia="Times New Roman" w:hAnsiTheme="majorHAnsi" w:cs="Arial"/>
          <w:b/>
          <w:sz w:val="22"/>
        </w:rPr>
        <w:t xml:space="preserve">commenters </w:t>
      </w:r>
      <w:r>
        <w:rPr>
          <w:rFonts w:asciiTheme="majorHAnsi" w:eastAsia="Times New Roman" w:hAnsiTheme="majorHAnsi" w:cs="Arial"/>
          <w:b/>
          <w:sz w:val="22"/>
        </w:rPr>
        <w:t xml:space="preserve">is located on </w:t>
      </w:r>
      <w:r w:rsidRPr="00294437">
        <w:rPr>
          <w:rFonts w:asciiTheme="majorHAnsi" w:eastAsia="Times New Roman" w:hAnsiTheme="majorHAnsi" w:cs="Arial"/>
          <w:b/>
          <w:sz w:val="22"/>
        </w:rPr>
        <w:t>page</w:t>
      </w:r>
      <w:r>
        <w:rPr>
          <w:rFonts w:asciiTheme="majorHAnsi" w:eastAsia="Times New Roman" w:hAnsiTheme="majorHAnsi" w:cs="Arial"/>
          <w:b/>
          <w:sz w:val="22"/>
        </w:rPr>
        <w:t xml:space="preserve">s </w:t>
      </w:r>
      <w:r w:rsidR="00A00E1D">
        <w:rPr>
          <w:rFonts w:asciiTheme="majorHAnsi" w:eastAsia="Times New Roman" w:hAnsiTheme="majorHAnsi" w:cs="Arial"/>
          <w:b/>
          <w:sz w:val="22"/>
        </w:rPr>
        <w:t>2</w:t>
      </w:r>
      <w:r w:rsidRPr="00294437">
        <w:rPr>
          <w:rFonts w:asciiTheme="majorHAnsi" w:eastAsia="Times New Roman" w:hAnsiTheme="majorHAnsi" w:cs="Arial"/>
          <w:b/>
          <w:sz w:val="22"/>
        </w:rPr>
        <w:t>.)</w:t>
      </w:r>
    </w:p>
    <w:p w:rsidR="000F0BC4" w:rsidRDefault="000F0BC4" w:rsidP="0087638B">
      <w:pPr>
        <w:tabs>
          <w:tab w:val="left" w:pos="360"/>
          <w:tab w:val="right" w:pos="2700"/>
        </w:tabs>
        <w:rPr>
          <w:rFonts w:asciiTheme="majorHAnsi" w:eastAsia="Times New Roman" w:hAnsiTheme="majorHAnsi" w:cs="Arial"/>
          <w:sz w:val="22"/>
        </w:rPr>
      </w:pPr>
    </w:p>
    <w:p w:rsidR="00417CE6" w:rsidRDefault="003A1053" w:rsidP="003A1053">
      <w:pPr>
        <w:autoSpaceDE w:val="0"/>
        <w:autoSpaceDN w:val="0"/>
        <w:adjustRightInd w:val="0"/>
        <w:rPr>
          <w:rFonts w:asciiTheme="majorHAnsi" w:eastAsiaTheme="minorHAnsi" w:hAnsiTheme="majorHAnsi" w:cs="ArialMT"/>
          <w:sz w:val="22"/>
        </w:rPr>
      </w:pPr>
      <w:r w:rsidRPr="003A0DF4">
        <w:rPr>
          <w:rFonts w:asciiTheme="majorHAnsi" w:eastAsiaTheme="minorHAnsi" w:hAnsiTheme="majorHAnsi" w:cs="ArialMT"/>
          <w:sz w:val="22"/>
        </w:rPr>
        <w:t xml:space="preserve">Five public hearings were held during January of 2016. Oregon OSHA received oral testimony in addition to written comments. </w:t>
      </w:r>
      <w:r w:rsidR="00116BC5" w:rsidRPr="00116BC5">
        <w:rPr>
          <w:rFonts w:asciiTheme="majorHAnsi" w:hAnsiTheme="majorHAnsi"/>
          <w:sz w:val="22"/>
        </w:rPr>
        <w:t>Several comments received opposed lowering the 10-foot general trigger height for fall protection to 6 feet. Reasons for the opposing comments included, but were not limited to; the belief that the hazard associated with a 6-foot fall is not an “extreme difference” than that of a 10-foot fall</w:t>
      </w:r>
      <w:r w:rsidR="001864C2">
        <w:rPr>
          <w:rFonts w:asciiTheme="majorHAnsi" w:hAnsiTheme="majorHAnsi"/>
          <w:sz w:val="22"/>
        </w:rPr>
        <w:t xml:space="preserve"> and that compliance would make construction more difficult while offering no benefit to safety</w:t>
      </w:r>
      <w:r w:rsidR="00116BC5" w:rsidRPr="00116BC5">
        <w:rPr>
          <w:rFonts w:asciiTheme="majorHAnsi" w:hAnsiTheme="majorHAnsi"/>
          <w:sz w:val="22"/>
        </w:rPr>
        <w:t xml:space="preserve">; employers’ </w:t>
      </w:r>
      <w:r w:rsidR="00116BC5">
        <w:rPr>
          <w:rFonts w:asciiTheme="majorHAnsi" w:hAnsiTheme="majorHAnsi"/>
          <w:sz w:val="22"/>
        </w:rPr>
        <w:t xml:space="preserve">current </w:t>
      </w:r>
      <w:r w:rsidR="00116BC5" w:rsidRPr="00116BC5">
        <w:rPr>
          <w:rFonts w:asciiTheme="majorHAnsi" w:hAnsiTheme="majorHAnsi"/>
          <w:sz w:val="22"/>
        </w:rPr>
        <w:t>difficulty of ensuring employees follow company policy to use personal fall protection systems</w:t>
      </w:r>
      <w:r w:rsidR="00116BC5">
        <w:rPr>
          <w:rFonts w:asciiTheme="majorHAnsi" w:hAnsiTheme="majorHAnsi"/>
          <w:sz w:val="22"/>
        </w:rPr>
        <w:t xml:space="preserve"> on unprotected walking/working surfaces that are 10 feet or more</w:t>
      </w:r>
      <w:r w:rsidR="00116BC5" w:rsidRPr="00116BC5">
        <w:rPr>
          <w:rFonts w:asciiTheme="majorHAnsi" w:hAnsiTheme="majorHAnsi"/>
          <w:sz w:val="22"/>
        </w:rPr>
        <w:t>; additional costs incurred by employers and homeowners for increase use of fall protection systems</w:t>
      </w:r>
      <w:r w:rsidR="001864C2">
        <w:rPr>
          <w:rFonts w:asciiTheme="majorHAnsi" w:hAnsiTheme="majorHAnsi"/>
          <w:sz w:val="22"/>
        </w:rPr>
        <w:t xml:space="preserve"> that can slow down the job</w:t>
      </w:r>
      <w:r w:rsidR="00116BC5">
        <w:rPr>
          <w:rFonts w:asciiTheme="majorHAnsi" w:hAnsiTheme="majorHAnsi"/>
          <w:sz w:val="22"/>
        </w:rPr>
        <w:t xml:space="preserve">; the proposed revocation of allowing </w:t>
      </w:r>
      <w:r w:rsidR="00116BC5" w:rsidRPr="00116BC5">
        <w:rPr>
          <w:rFonts w:asciiTheme="majorHAnsi" w:hAnsiTheme="majorHAnsi"/>
          <w:sz w:val="22"/>
        </w:rPr>
        <w:t>slide guard</w:t>
      </w:r>
      <w:r w:rsidR="00116BC5">
        <w:rPr>
          <w:rFonts w:asciiTheme="majorHAnsi" w:hAnsiTheme="majorHAnsi"/>
          <w:sz w:val="22"/>
        </w:rPr>
        <w:t xml:space="preserve"> </w:t>
      </w:r>
      <w:r w:rsidR="00116BC5" w:rsidRPr="00116BC5">
        <w:rPr>
          <w:rFonts w:asciiTheme="majorHAnsi" w:hAnsiTheme="majorHAnsi"/>
          <w:sz w:val="22"/>
        </w:rPr>
        <w:t>s</w:t>
      </w:r>
      <w:r w:rsidR="00116BC5">
        <w:rPr>
          <w:rFonts w:asciiTheme="majorHAnsi" w:hAnsiTheme="majorHAnsi"/>
          <w:sz w:val="22"/>
        </w:rPr>
        <w:t>ystems to be used as a sole or primary fall protection syste</w:t>
      </w:r>
      <w:r w:rsidR="001864C2">
        <w:rPr>
          <w:rFonts w:asciiTheme="majorHAnsi" w:hAnsiTheme="majorHAnsi"/>
          <w:sz w:val="22"/>
        </w:rPr>
        <w:t>m</w:t>
      </w:r>
      <w:r w:rsidR="00116BC5" w:rsidRPr="00116BC5">
        <w:rPr>
          <w:rFonts w:asciiTheme="majorHAnsi" w:hAnsiTheme="majorHAnsi"/>
          <w:sz w:val="22"/>
        </w:rPr>
        <w:t>;</w:t>
      </w:r>
      <w:r w:rsidR="001864C2">
        <w:rPr>
          <w:rFonts w:asciiTheme="majorHAnsi" w:hAnsiTheme="majorHAnsi"/>
          <w:sz w:val="22"/>
        </w:rPr>
        <w:t xml:space="preserve"> </w:t>
      </w:r>
      <w:r w:rsidR="00116BC5" w:rsidRPr="00116BC5">
        <w:rPr>
          <w:rFonts w:asciiTheme="majorHAnsi" w:hAnsiTheme="majorHAnsi"/>
          <w:sz w:val="22"/>
        </w:rPr>
        <w:t xml:space="preserve"> lack of data that supports the need to lower the current 10-foot trigger height</w:t>
      </w:r>
      <w:r w:rsidR="001864C2">
        <w:rPr>
          <w:rFonts w:asciiTheme="majorHAnsi" w:hAnsiTheme="majorHAnsi"/>
          <w:sz w:val="22"/>
        </w:rPr>
        <w:t xml:space="preserve"> to 6 feet</w:t>
      </w:r>
      <w:r w:rsidR="00116BC5" w:rsidRPr="00116BC5">
        <w:rPr>
          <w:rFonts w:asciiTheme="majorHAnsi" w:hAnsiTheme="majorHAnsi"/>
          <w:sz w:val="22"/>
        </w:rPr>
        <w:t>.</w:t>
      </w:r>
      <w:r w:rsidR="00116BC5">
        <w:rPr>
          <w:rFonts w:asciiTheme="majorHAnsi" w:hAnsiTheme="majorHAnsi"/>
          <w:sz w:val="22"/>
        </w:rPr>
        <w:t xml:space="preserve"> </w:t>
      </w:r>
      <w:r w:rsidR="00B458FF">
        <w:rPr>
          <w:rFonts w:asciiTheme="majorHAnsi" w:hAnsiTheme="majorHAnsi"/>
          <w:sz w:val="22"/>
        </w:rPr>
        <w:t xml:space="preserve">No comments were received regarding the </w:t>
      </w:r>
      <w:r w:rsidR="003B1717">
        <w:rPr>
          <w:rFonts w:asciiTheme="majorHAnsi" w:hAnsiTheme="majorHAnsi"/>
          <w:sz w:val="22"/>
        </w:rPr>
        <w:t xml:space="preserve">proposed changes to </w:t>
      </w:r>
      <w:r w:rsidR="00B458FF">
        <w:rPr>
          <w:rFonts w:asciiTheme="majorHAnsi" w:hAnsiTheme="majorHAnsi"/>
          <w:sz w:val="22"/>
        </w:rPr>
        <w:t>falling objects protection or revoking the fall protection rule in Subdivision 3/E.</w:t>
      </w:r>
    </w:p>
    <w:p w:rsidR="003A1053" w:rsidRDefault="003A1053" w:rsidP="0087638B">
      <w:pPr>
        <w:tabs>
          <w:tab w:val="left" w:pos="360"/>
          <w:tab w:val="right" w:pos="2700"/>
        </w:tabs>
        <w:rPr>
          <w:rFonts w:asciiTheme="majorHAnsi" w:eastAsia="Times New Roman" w:hAnsiTheme="majorHAnsi" w:cs="Arial"/>
          <w:sz w:val="22"/>
        </w:rPr>
      </w:pPr>
    </w:p>
    <w:p w:rsidR="009B2721" w:rsidRDefault="00DA164D" w:rsidP="00DA164D">
      <w:pPr>
        <w:tabs>
          <w:tab w:val="left" w:pos="360"/>
          <w:tab w:val="right" w:pos="2700"/>
        </w:tabs>
        <w:ind w:left="360"/>
        <w:rPr>
          <w:rFonts w:asciiTheme="majorHAnsi" w:eastAsiaTheme="minorHAnsi" w:hAnsiTheme="majorHAnsi" w:cs="Arial"/>
          <w:i/>
          <w:color w:val="000000"/>
          <w:sz w:val="22"/>
        </w:rPr>
      </w:pPr>
      <w:r>
        <w:rPr>
          <w:rFonts w:asciiTheme="majorHAnsi" w:eastAsia="Times New Roman" w:hAnsiTheme="majorHAnsi" w:cs="Arial"/>
          <w:i/>
          <w:sz w:val="22"/>
        </w:rPr>
        <w:tab/>
      </w:r>
      <w:r w:rsidR="009B2721" w:rsidRPr="00285911">
        <w:rPr>
          <w:rFonts w:asciiTheme="majorHAnsi" w:eastAsia="Times New Roman" w:hAnsiTheme="majorHAnsi" w:cs="Arial"/>
          <w:i/>
          <w:sz w:val="22"/>
        </w:rPr>
        <w:t>All comments received were considered in the context of federal OSHA’s formal request and Oregon OSHA’s limited discretion in this matter. As explained in the proposed rule fiscal impact statement, “t</w:t>
      </w:r>
      <w:r w:rsidR="009B2721" w:rsidRPr="00285911">
        <w:rPr>
          <w:rFonts w:asciiTheme="majorHAnsi" w:eastAsiaTheme="minorHAnsi" w:hAnsiTheme="majorHAnsi" w:cs="Arial"/>
          <w:i/>
          <w:iCs/>
          <w:color w:val="000000"/>
          <w:sz w:val="22"/>
        </w:rPr>
        <w:t xml:space="preserve">he </w:t>
      </w:r>
      <w:r w:rsidR="009B2721" w:rsidRPr="00285911">
        <w:rPr>
          <w:rFonts w:asciiTheme="majorHAnsi" w:eastAsiaTheme="minorHAnsi" w:hAnsiTheme="majorHAnsi" w:cs="Arial"/>
          <w:i/>
          <w:iCs/>
          <w:color w:val="000000"/>
          <w:sz w:val="22"/>
        </w:rPr>
        <w:lastRenderedPageBreak/>
        <w:t>Occupational Safety and Health (OSH) Act</w:t>
      </w:r>
      <w:r w:rsidR="009B2721" w:rsidRPr="00285911">
        <w:rPr>
          <w:rFonts w:asciiTheme="majorHAnsi" w:eastAsiaTheme="minorHAnsi" w:hAnsiTheme="majorHAnsi" w:cs="Arial"/>
          <w:i/>
          <w:color w:val="000000"/>
          <w:sz w:val="22"/>
        </w:rPr>
        <w:t xml:space="preserve"> of 1970, encourages states to develop and operate their own workplace safety and health programs and prevents state enforcement of OSHA standards unless the state has a federal OSHA-approved State Plan that meets the requirements under </w:t>
      </w:r>
      <w:r w:rsidR="009B2721" w:rsidRPr="00285911">
        <w:rPr>
          <w:rFonts w:asciiTheme="majorHAnsi" w:eastAsiaTheme="minorHAnsi" w:hAnsiTheme="majorHAnsi" w:cs="Arial"/>
          <w:i/>
          <w:sz w:val="22"/>
        </w:rPr>
        <w:t xml:space="preserve">Section 18 </w:t>
      </w:r>
      <w:bookmarkStart w:id="1" w:name="18"/>
      <w:r w:rsidR="009B2721" w:rsidRPr="00285911">
        <w:rPr>
          <w:rFonts w:asciiTheme="majorHAnsi" w:eastAsiaTheme="minorHAnsi" w:hAnsiTheme="majorHAnsi" w:cs="Arial"/>
          <w:i/>
          <w:sz w:val="22"/>
        </w:rPr>
        <w:t>(</w:t>
      </w:r>
      <w:r w:rsidR="009B2721" w:rsidRPr="00285911">
        <w:rPr>
          <w:rFonts w:asciiTheme="majorHAnsi" w:eastAsiaTheme="minorHAnsi" w:hAnsiTheme="majorHAnsi" w:cs="Arial"/>
          <w:bCs/>
          <w:i/>
          <w:sz w:val="22"/>
        </w:rPr>
        <w:t>State Jurisdiction and State Plans</w:t>
      </w:r>
      <w:bookmarkEnd w:id="1"/>
      <w:r w:rsidR="009B2721" w:rsidRPr="00285911">
        <w:rPr>
          <w:rFonts w:asciiTheme="majorHAnsi" w:eastAsiaTheme="minorHAnsi" w:hAnsiTheme="majorHAnsi" w:cs="Arial"/>
          <w:bCs/>
          <w:i/>
          <w:sz w:val="22"/>
        </w:rPr>
        <w:t>)</w:t>
      </w:r>
      <w:r w:rsidR="009B2721" w:rsidRPr="00285911">
        <w:rPr>
          <w:rFonts w:asciiTheme="majorHAnsi" w:eastAsiaTheme="minorHAnsi" w:hAnsiTheme="majorHAnsi" w:cs="Arial"/>
          <w:i/>
          <w:sz w:val="22"/>
        </w:rPr>
        <w:t xml:space="preserve"> of the OSH Act. Section 18 criterion for initial and continuing State Plan approval includes the promulgation and enforcement of</w:t>
      </w:r>
      <w:r w:rsidR="009B2721" w:rsidRPr="00285911">
        <w:rPr>
          <w:rFonts w:asciiTheme="majorHAnsi" w:eastAsiaTheme="minorHAnsi" w:hAnsiTheme="majorHAnsi" w:cs="Arial"/>
          <w:i/>
          <w:color w:val="000000"/>
          <w:sz w:val="22"/>
        </w:rPr>
        <w:t xml:space="preserve"> workplace safety and health standards that federal OSHA considers "at least as effective as" their own program standards. The purpose of the Oregon Safe Employment Act includes the statement that one purpose of the state law is to “assure that Oregon assumes fullest responsibility…for the development, administration and enforcement of safety and health laws and standards in accordance with the OSH Act (ORS 654.003(6)).”</w:t>
      </w:r>
    </w:p>
    <w:p w:rsidR="009B2721" w:rsidRDefault="009B2721" w:rsidP="009B2721">
      <w:pPr>
        <w:tabs>
          <w:tab w:val="left" w:pos="360"/>
          <w:tab w:val="right" w:pos="2700"/>
        </w:tabs>
        <w:rPr>
          <w:rFonts w:asciiTheme="majorHAnsi" w:eastAsiaTheme="minorHAnsi" w:hAnsiTheme="majorHAnsi" w:cs="Arial"/>
          <w:i/>
          <w:color w:val="000000"/>
          <w:sz w:val="22"/>
        </w:rPr>
      </w:pPr>
    </w:p>
    <w:p w:rsidR="00652F50" w:rsidRDefault="00DA164D" w:rsidP="0068022C">
      <w:pPr>
        <w:tabs>
          <w:tab w:val="left" w:pos="360"/>
          <w:tab w:val="right" w:pos="2700"/>
        </w:tabs>
        <w:ind w:left="360"/>
        <w:rPr>
          <w:rFonts w:asciiTheme="majorHAnsi" w:eastAsiaTheme="minorHAnsi" w:hAnsiTheme="majorHAnsi" w:cs="Arial"/>
          <w:i/>
          <w:color w:val="000000"/>
          <w:sz w:val="22"/>
        </w:rPr>
      </w:pPr>
      <w:r>
        <w:rPr>
          <w:rFonts w:asciiTheme="majorHAnsi" w:eastAsiaTheme="minorHAnsi" w:hAnsiTheme="majorHAnsi" w:cs="Arial"/>
          <w:i/>
          <w:color w:val="000000"/>
          <w:sz w:val="22"/>
        </w:rPr>
        <w:tab/>
      </w:r>
      <w:r w:rsidR="009B2721">
        <w:rPr>
          <w:rFonts w:asciiTheme="majorHAnsi" w:eastAsiaTheme="minorHAnsi" w:hAnsiTheme="majorHAnsi" w:cs="Arial"/>
          <w:i/>
          <w:color w:val="000000"/>
          <w:sz w:val="22"/>
        </w:rPr>
        <w:t xml:space="preserve">Since federal OSHA’s request was not based on data related to enforcement, but rather on the literal effectiveness of the rules themselves, presuming they are followed, </w:t>
      </w:r>
      <w:r w:rsidR="0068022C">
        <w:rPr>
          <w:rFonts w:asciiTheme="majorHAnsi" w:eastAsiaTheme="minorHAnsi" w:hAnsiTheme="majorHAnsi" w:cs="Arial"/>
          <w:i/>
          <w:color w:val="000000"/>
          <w:sz w:val="22"/>
        </w:rPr>
        <w:t xml:space="preserve">Oregon OSHA must comply with federal OSHA’s request or risk the likelihood of losing its jurisdiction in matters regarding the proposed rule change. As a result of Oregon OSHA’s limited discretion under Section 18 </w:t>
      </w:r>
      <w:r w:rsidR="0068022C" w:rsidRPr="00285911">
        <w:rPr>
          <w:rFonts w:asciiTheme="majorHAnsi" w:eastAsiaTheme="minorHAnsi" w:hAnsiTheme="majorHAnsi" w:cs="Arial"/>
          <w:i/>
          <w:sz w:val="22"/>
        </w:rPr>
        <w:t>of the OSH Act</w:t>
      </w:r>
      <w:r w:rsidR="0068022C">
        <w:rPr>
          <w:rFonts w:asciiTheme="majorHAnsi" w:eastAsiaTheme="minorHAnsi" w:hAnsiTheme="majorHAnsi" w:cs="Arial"/>
          <w:i/>
          <w:color w:val="000000"/>
          <w:sz w:val="22"/>
        </w:rPr>
        <w:t>, the rules were adopted as proposed.</w:t>
      </w:r>
    </w:p>
    <w:p w:rsidR="0068022C" w:rsidRDefault="0068022C" w:rsidP="0068022C">
      <w:pPr>
        <w:tabs>
          <w:tab w:val="left" w:pos="360"/>
          <w:tab w:val="right" w:pos="2700"/>
        </w:tabs>
        <w:ind w:left="360"/>
        <w:rPr>
          <w:rFonts w:asciiTheme="majorHAnsi" w:eastAsia="Times New Roman" w:hAnsiTheme="majorHAnsi" w:cs="Arial"/>
          <w:b/>
          <w:sz w:val="22"/>
          <w:u w:val="single"/>
        </w:rPr>
      </w:pPr>
    </w:p>
    <w:p w:rsidR="00285911" w:rsidRDefault="00285911" w:rsidP="00285911">
      <w:pPr>
        <w:tabs>
          <w:tab w:val="left" w:pos="360"/>
          <w:tab w:val="right" w:pos="2700"/>
        </w:tabs>
        <w:rPr>
          <w:rFonts w:asciiTheme="majorHAnsi" w:eastAsia="Times New Roman" w:hAnsiTheme="majorHAnsi" w:cs="Arial"/>
          <w:sz w:val="22"/>
        </w:rPr>
      </w:pPr>
      <w:r>
        <w:rPr>
          <w:rFonts w:asciiTheme="majorHAnsi" w:eastAsia="Times New Roman" w:hAnsiTheme="majorHAnsi" w:cs="Arial"/>
          <w:sz w:val="22"/>
        </w:rPr>
        <w:t>One commenter asked if the exclusions to the proposed 6-foot general trigger height rule include Division 3, Subdivisions V and X</w:t>
      </w:r>
      <w:r w:rsidR="00A00E1D">
        <w:rPr>
          <w:rFonts w:asciiTheme="majorHAnsi" w:eastAsia="Times New Roman" w:hAnsiTheme="majorHAnsi" w:cs="Arial"/>
          <w:sz w:val="22"/>
        </w:rPr>
        <w:t>, while another commenter stated that the lower trigger height would require the use of fall protection on scaffold systems between 6 – 10 feet.</w:t>
      </w:r>
    </w:p>
    <w:p w:rsidR="00285911" w:rsidRDefault="00285911" w:rsidP="00285911">
      <w:pPr>
        <w:tabs>
          <w:tab w:val="left" w:pos="360"/>
          <w:tab w:val="right" w:pos="2700"/>
        </w:tabs>
        <w:rPr>
          <w:rFonts w:asciiTheme="majorHAnsi" w:eastAsia="Times New Roman" w:hAnsiTheme="majorHAnsi" w:cs="Arial"/>
          <w:sz w:val="22"/>
        </w:rPr>
      </w:pPr>
    </w:p>
    <w:p w:rsidR="00285911" w:rsidRPr="00285911" w:rsidRDefault="004B6D63" w:rsidP="00C758F0">
      <w:pPr>
        <w:autoSpaceDE w:val="0"/>
        <w:autoSpaceDN w:val="0"/>
        <w:adjustRightInd w:val="0"/>
        <w:ind w:left="360"/>
        <w:rPr>
          <w:rFonts w:asciiTheme="majorHAnsi" w:eastAsia="Times" w:hAnsiTheme="majorHAnsi" w:cs="Arial"/>
          <w:i/>
          <w:color w:val="000000"/>
          <w:sz w:val="22"/>
        </w:rPr>
      </w:pPr>
      <w:r w:rsidRPr="004B6D63">
        <w:rPr>
          <w:rFonts w:asciiTheme="majorHAnsi" w:eastAsiaTheme="minorHAnsi" w:hAnsiTheme="majorHAnsi" w:cs="Arial"/>
          <w:bCs/>
          <w:i/>
          <w:sz w:val="22"/>
        </w:rPr>
        <w:t>The adopted rule changes do not effect the fall protection requirement</w:t>
      </w:r>
      <w:r w:rsidR="00CF65B3">
        <w:rPr>
          <w:rFonts w:asciiTheme="majorHAnsi" w:eastAsiaTheme="minorHAnsi" w:hAnsiTheme="majorHAnsi" w:cs="Arial"/>
          <w:bCs/>
          <w:i/>
          <w:sz w:val="22"/>
        </w:rPr>
        <w:t>s</w:t>
      </w:r>
      <w:r w:rsidRPr="004B6D63">
        <w:rPr>
          <w:rFonts w:asciiTheme="majorHAnsi" w:eastAsiaTheme="minorHAnsi" w:hAnsiTheme="majorHAnsi" w:cs="Arial"/>
          <w:bCs/>
          <w:i/>
          <w:sz w:val="22"/>
        </w:rPr>
        <w:t xml:space="preserve"> currently under Division 3/X (Stairways and Ladders)</w:t>
      </w:r>
      <w:r w:rsidR="00555665">
        <w:rPr>
          <w:rFonts w:asciiTheme="majorHAnsi" w:eastAsiaTheme="minorHAnsi" w:hAnsiTheme="majorHAnsi" w:cs="Arial"/>
          <w:bCs/>
          <w:i/>
          <w:sz w:val="22"/>
        </w:rPr>
        <w:t xml:space="preserve"> and Division 3/RR </w:t>
      </w:r>
      <w:r w:rsidR="00555665" w:rsidRPr="00555665">
        <w:rPr>
          <w:rFonts w:asciiTheme="majorHAnsi" w:eastAsiaTheme="minorHAnsi" w:hAnsiTheme="majorHAnsi" w:cs="Arial"/>
          <w:bCs/>
          <w:i/>
          <w:sz w:val="22"/>
        </w:rPr>
        <w:t>(</w:t>
      </w:r>
      <w:r w:rsidR="00555665" w:rsidRPr="00555665">
        <w:rPr>
          <w:rFonts w:asciiTheme="majorHAnsi" w:eastAsiaTheme="minorHAnsi" w:hAnsiTheme="majorHAnsi" w:cs="MSReferenceSansSerif"/>
          <w:i/>
          <w:sz w:val="22"/>
        </w:rPr>
        <w:t xml:space="preserve">Electrical Power Generation, Transmission, and Distribution) which replaced Division 3/V </w:t>
      </w:r>
      <w:r w:rsidR="00377515">
        <w:rPr>
          <w:rFonts w:asciiTheme="majorHAnsi" w:eastAsiaTheme="minorHAnsi" w:hAnsiTheme="majorHAnsi" w:cs="MSReferenceSansSerif"/>
          <w:i/>
          <w:sz w:val="22"/>
        </w:rPr>
        <w:t xml:space="preserve">when </w:t>
      </w:r>
      <w:r w:rsidR="00A00E1D">
        <w:rPr>
          <w:rFonts w:asciiTheme="majorHAnsi" w:eastAsiaTheme="minorHAnsi" w:hAnsiTheme="majorHAnsi" w:cs="MSReferenceSansSerif"/>
          <w:i/>
          <w:sz w:val="22"/>
        </w:rPr>
        <w:t xml:space="preserve">it </w:t>
      </w:r>
      <w:r w:rsidR="00377515">
        <w:rPr>
          <w:rFonts w:asciiTheme="majorHAnsi" w:eastAsiaTheme="minorHAnsi" w:hAnsiTheme="majorHAnsi" w:cs="Arial"/>
          <w:bCs/>
          <w:i/>
          <w:sz w:val="22"/>
        </w:rPr>
        <w:t xml:space="preserve">went </w:t>
      </w:r>
      <w:r w:rsidR="001864C2">
        <w:rPr>
          <w:rFonts w:asciiTheme="majorHAnsi" w:eastAsiaTheme="minorHAnsi" w:hAnsiTheme="majorHAnsi" w:cs="Arial"/>
          <w:bCs/>
          <w:i/>
          <w:sz w:val="22"/>
        </w:rPr>
        <w:t>into</w:t>
      </w:r>
      <w:r w:rsidR="00555665">
        <w:rPr>
          <w:rFonts w:asciiTheme="majorHAnsi" w:eastAsiaTheme="minorHAnsi" w:hAnsiTheme="majorHAnsi" w:cs="Arial"/>
          <w:bCs/>
          <w:i/>
          <w:sz w:val="22"/>
        </w:rPr>
        <w:t xml:space="preserve"> </w:t>
      </w:r>
      <w:r w:rsidR="00377515">
        <w:rPr>
          <w:rFonts w:asciiTheme="majorHAnsi" w:eastAsiaTheme="minorHAnsi" w:hAnsiTheme="majorHAnsi" w:cs="Arial"/>
          <w:bCs/>
          <w:i/>
          <w:sz w:val="22"/>
        </w:rPr>
        <w:t>effect on</w:t>
      </w:r>
      <w:r w:rsidR="00555665">
        <w:rPr>
          <w:rFonts w:asciiTheme="majorHAnsi" w:eastAsiaTheme="minorHAnsi" w:hAnsiTheme="majorHAnsi" w:cs="Arial"/>
          <w:bCs/>
          <w:i/>
          <w:sz w:val="22"/>
        </w:rPr>
        <w:t xml:space="preserve"> </w:t>
      </w:r>
      <w:r w:rsidRPr="004B6D63">
        <w:rPr>
          <w:rFonts w:asciiTheme="majorHAnsi" w:eastAsiaTheme="minorHAnsi" w:hAnsiTheme="majorHAnsi" w:cs="Arial"/>
          <w:bCs/>
          <w:i/>
          <w:sz w:val="22"/>
        </w:rPr>
        <w:t>January 1, 2016</w:t>
      </w:r>
      <w:r w:rsidR="00377515">
        <w:rPr>
          <w:rFonts w:asciiTheme="majorHAnsi" w:eastAsiaTheme="minorHAnsi" w:hAnsiTheme="majorHAnsi" w:cs="Arial"/>
          <w:bCs/>
          <w:i/>
          <w:sz w:val="22"/>
        </w:rPr>
        <w:t>.</w:t>
      </w:r>
      <w:r w:rsidR="00CF65B3">
        <w:rPr>
          <w:rFonts w:asciiTheme="majorHAnsi" w:eastAsiaTheme="minorHAnsi" w:hAnsiTheme="majorHAnsi" w:cs="Arial"/>
          <w:bCs/>
          <w:i/>
          <w:sz w:val="22"/>
        </w:rPr>
        <w:t xml:space="preserve"> </w:t>
      </w:r>
      <w:r w:rsidR="00CF65B3">
        <w:rPr>
          <w:rFonts w:asciiTheme="majorHAnsi" w:eastAsia="Times New Roman" w:hAnsiTheme="majorHAnsi" w:cs="Arial"/>
          <w:i/>
          <w:sz w:val="22"/>
        </w:rPr>
        <w:t>In addition, f</w:t>
      </w:r>
      <w:r w:rsidR="00285911" w:rsidRPr="00285911">
        <w:rPr>
          <w:rFonts w:asciiTheme="majorHAnsi" w:eastAsia="Times" w:hAnsiTheme="majorHAnsi" w:cs="Arial"/>
          <w:i/>
          <w:color w:val="000000"/>
          <w:sz w:val="22"/>
        </w:rPr>
        <w:t>all protection requirements covered under Subdivisions 3/L (Scaffolding), 3/R (Steel Erection), 3/S (Underground Construction), 3/CC (Cranes and Derricks in Construction); Division 2 (General Occupational Safety and Health Rules); Division 4 (Agriculture); and Division 7 (Forest Activities),</w:t>
      </w:r>
      <w:r w:rsidR="00285911" w:rsidRPr="00285911">
        <w:rPr>
          <w:rFonts w:asciiTheme="majorHAnsi" w:eastAsia="Times" w:hAnsiTheme="majorHAnsi" w:cs="Arial"/>
          <w:i/>
          <w:sz w:val="22"/>
        </w:rPr>
        <w:t xml:space="preserve"> </w:t>
      </w:r>
      <w:r w:rsidR="00285911" w:rsidRPr="00285911">
        <w:rPr>
          <w:rFonts w:asciiTheme="majorHAnsi" w:eastAsia="Times" w:hAnsiTheme="majorHAnsi" w:cs="Arial"/>
          <w:i/>
          <w:color w:val="000000"/>
          <w:sz w:val="22"/>
        </w:rPr>
        <w:t>are unaffected by th</w:t>
      </w:r>
      <w:r w:rsidR="00377515">
        <w:rPr>
          <w:rFonts w:asciiTheme="majorHAnsi" w:eastAsia="Times" w:hAnsiTheme="majorHAnsi" w:cs="Arial"/>
          <w:i/>
          <w:color w:val="000000"/>
          <w:sz w:val="22"/>
        </w:rPr>
        <w:t>e adopted rules.</w:t>
      </w:r>
      <w:r w:rsidR="00A00E1D">
        <w:rPr>
          <w:rFonts w:asciiTheme="majorHAnsi" w:eastAsia="Times" w:hAnsiTheme="majorHAnsi" w:cs="Arial"/>
          <w:i/>
          <w:color w:val="000000"/>
          <w:sz w:val="22"/>
        </w:rPr>
        <w:t xml:space="preserve"> As such, the trigger heights for scaffold systems still remain at 10 feet or more, or any height above dangerous equipment.</w:t>
      </w:r>
    </w:p>
    <w:p w:rsidR="00285911" w:rsidRDefault="00285911" w:rsidP="00285911">
      <w:pPr>
        <w:tabs>
          <w:tab w:val="left" w:pos="360"/>
          <w:tab w:val="right" w:pos="2700"/>
        </w:tabs>
        <w:rPr>
          <w:rFonts w:asciiTheme="majorHAnsi" w:eastAsia="Times New Roman" w:hAnsiTheme="majorHAnsi" w:cs="Arial"/>
          <w:sz w:val="22"/>
        </w:rPr>
      </w:pPr>
    </w:p>
    <w:p w:rsidR="00833559" w:rsidRPr="005E297B" w:rsidRDefault="005F32EE" w:rsidP="0087638B">
      <w:pPr>
        <w:autoSpaceDE w:val="0"/>
        <w:autoSpaceDN w:val="0"/>
        <w:adjustRightInd w:val="0"/>
        <w:rPr>
          <w:rFonts w:asciiTheme="majorHAnsi" w:eastAsia="Times New Roman" w:hAnsiTheme="majorHAnsi" w:cs="Arial"/>
          <w:b/>
          <w:sz w:val="22"/>
          <w:u w:val="single"/>
        </w:rPr>
      </w:pPr>
      <w:r w:rsidRPr="005E297B">
        <w:rPr>
          <w:rFonts w:asciiTheme="majorHAnsi" w:eastAsia="Times New Roman" w:hAnsiTheme="majorHAnsi" w:cs="Arial"/>
          <w:b/>
          <w:sz w:val="22"/>
          <w:u w:val="single"/>
        </w:rPr>
        <w:t>Commenters</w:t>
      </w:r>
      <w:r w:rsidR="00833559" w:rsidRPr="005E297B">
        <w:rPr>
          <w:rFonts w:asciiTheme="majorHAnsi" w:eastAsia="Times New Roman" w:hAnsiTheme="majorHAnsi" w:cs="Arial"/>
          <w:b/>
          <w:sz w:val="22"/>
          <w:u w:val="single"/>
        </w:rPr>
        <w:t>:</w:t>
      </w:r>
    </w:p>
    <w:p w:rsidR="008F5560" w:rsidRPr="005E297B" w:rsidRDefault="008F5560" w:rsidP="0087638B">
      <w:pPr>
        <w:autoSpaceDE w:val="0"/>
        <w:autoSpaceDN w:val="0"/>
        <w:adjustRightInd w:val="0"/>
        <w:rPr>
          <w:rFonts w:asciiTheme="majorHAnsi" w:eastAsia="Times New Roman" w:hAnsiTheme="majorHAnsi" w:cs="Arial"/>
          <w:b/>
          <w:sz w:val="20"/>
          <w:szCs w:val="20"/>
        </w:rPr>
      </w:pPr>
    </w:p>
    <w:p w:rsidR="004109AF" w:rsidRDefault="00144E73"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C-1</w:t>
      </w:r>
      <w:r w:rsidR="004109AF">
        <w:rPr>
          <w:rFonts w:asciiTheme="majorHAnsi" w:eastAsia="Times New Roman" w:hAnsiTheme="majorHAnsi" w:cs="Arial"/>
          <w:b/>
          <w:sz w:val="20"/>
          <w:szCs w:val="20"/>
        </w:rPr>
        <w:tab/>
        <w:t>Tony Howard</w:t>
      </w:r>
    </w:p>
    <w:p w:rsidR="007D7296" w:rsidRDefault="004109AF"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C-2</w:t>
      </w:r>
      <w:r>
        <w:rPr>
          <w:rFonts w:asciiTheme="majorHAnsi" w:eastAsia="Times New Roman" w:hAnsiTheme="majorHAnsi" w:cs="Arial"/>
          <w:b/>
          <w:sz w:val="20"/>
          <w:szCs w:val="20"/>
        </w:rPr>
        <w:tab/>
        <w:t xml:space="preserve">Jared </w:t>
      </w:r>
      <w:proofErr w:type="spellStart"/>
      <w:r>
        <w:rPr>
          <w:rFonts w:asciiTheme="majorHAnsi" w:eastAsia="Times New Roman" w:hAnsiTheme="majorHAnsi" w:cs="Arial"/>
          <w:b/>
          <w:sz w:val="20"/>
          <w:szCs w:val="20"/>
        </w:rPr>
        <w:t>Rickenbach</w:t>
      </w:r>
      <w:proofErr w:type="spellEnd"/>
    </w:p>
    <w:p w:rsidR="00A73D2E"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3</w:t>
      </w:r>
      <w:r w:rsidR="00890983" w:rsidRPr="005E297B">
        <w:rPr>
          <w:rFonts w:asciiTheme="majorHAnsi" w:eastAsia="Times New Roman" w:hAnsiTheme="majorHAnsi" w:cs="Arial"/>
          <w:b/>
          <w:sz w:val="20"/>
          <w:szCs w:val="20"/>
        </w:rPr>
        <w:tab/>
      </w:r>
      <w:r>
        <w:rPr>
          <w:rFonts w:asciiTheme="majorHAnsi" w:eastAsia="Times New Roman" w:hAnsiTheme="majorHAnsi" w:cs="Arial"/>
          <w:b/>
          <w:sz w:val="20"/>
          <w:szCs w:val="20"/>
        </w:rPr>
        <w:t>James Watts</w:t>
      </w:r>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4</w:t>
      </w:r>
      <w:r>
        <w:rPr>
          <w:rFonts w:asciiTheme="majorHAnsi" w:eastAsia="Times New Roman" w:hAnsiTheme="majorHAnsi" w:cs="Arial"/>
          <w:b/>
          <w:sz w:val="20"/>
          <w:szCs w:val="20"/>
        </w:rPr>
        <w:tab/>
        <w:t xml:space="preserve">Timothy </w:t>
      </w:r>
      <w:proofErr w:type="spellStart"/>
      <w:r>
        <w:rPr>
          <w:rFonts w:asciiTheme="majorHAnsi" w:eastAsia="Times New Roman" w:hAnsiTheme="majorHAnsi" w:cs="Arial"/>
          <w:b/>
          <w:sz w:val="20"/>
          <w:szCs w:val="20"/>
        </w:rPr>
        <w:t>Bancke</w:t>
      </w:r>
      <w:proofErr w:type="spellEnd"/>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5</w:t>
      </w:r>
      <w:r>
        <w:rPr>
          <w:rFonts w:asciiTheme="majorHAnsi" w:eastAsia="Times New Roman" w:hAnsiTheme="majorHAnsi" w:cs="Arial"/>
          <w:b/>
          <w:sz w:val="20"/>
          <w:szCs w:val="20"/>
        </w:rPr>
        <w:tab/>
        <w:t>Dan Cornwell</w:t>
      </w:r>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6</w:t>
      </w:r>
      <w:r>
        <w:rPr>
          <w:rFonts w:asciiTheme="majorHAnsi" w:eastAsia="Times New Roman" w:hAnsiTheme="majorHAnsi" w:cs="Arial"/>
          <w:b/>
          <w:sz w:val="20"/>
          <w:szCs w:val="20"/>
        </w:rPr>
        <w:tab/>
        <w:t>Jay Moffitt</w:t>
      </w:r>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7</w:t>
      </w:r>
      <w:r>
        <w:rPr>
          <w:rFonts w:asciiTheme="majorHAnsi" w:eastAsia="Times New Roman" w:hAnsiTheme="majorHAnsi" w:cs="Arial"/>
          <w:b/>
          <w:sz w:val="20"/>
          <w:szCs w:val="20"/>
        </w:rPr>
        <w:tab/>
      </w:r>
      <w:r w:rsidR="00FA129E">
        <w:rPr>
          <w:rFonts w:asciiTheme="majorHAnsi" w:eastAsia="Times New Roman" w:hAnsiTheme="majorHAnsi" w:cs="Arial"/>
          <w:b/>
          <w:sz w:val="20"/>
          <w:szCs w:val="20"/>
        </w:rPr>
        <w:t>Norm Brown</w:t>
      </w:r>
    </w:p>
    <w:p w:rsidR="00FA129E" w:rsidRDefault="00FA129E"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8</w:t>
      </w:r>
      <w:r>
        <w:rPr>
          <w:rFonts w:asciiTheme="majorHAnsi" w:eastAsia="Times New Roman" w:hAnsiTheme="majorHAnsi" w:cs="Arial"/>
          <w:b/>
          <w:sz w:val="20"/>
          <w:szCs w:val="20"/>
        </w:rPr>
        <w:tab/>
        <w:t>Seth Crabtree</w:t>
      </w:r>
    </w:p>
    <w:p w:rsidR="00FA129E" w:rsidRDefault="00FA129E"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9</w:t>
      </w:r>
      <w:r>
        <w:rPr>
          <w:rFonts w:asciiTheme="majorHAnsi" w:eastAsia="Times New Roman" w:hAnsiTheme="majorHAnsi" w:cs="Arial"/>
          <w:b/>
          <w:sz w:val="20"/>
          <w:szCs w:val="20"/>
        </w:rPr>
        <w:tab/>
        <w:t>Marshall McManus</w:t>
      </w:r>
    </w:p>
    <w:p w:rsidR="00FA129E" w:rsidRDefault="00FA129E"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10</w:t>
      </w:r>
      <w:r>
        <w:rPr>
          <w:rFonts w:asciiTheme="majorHAnsi" w:eastAsia="Times New Roman" w:hAnsiTheme="majorHAnsi" w:cs="Arial"/>
          <w:b/>
          <w:sz w:val="20"/>
          <w:szCs w:val="20"/>
        </w:rPr>
        <w:tab/>
        <w:t>Don Gray</w:t>
      </w:r>
    </w:p>
    <w:p w:rsidR="00FA129E" w:rsidRDefault="00FA129E" w:rsidP="00323D7C">
      <w:pPr>
        <w:autoSpaceDE w:val="0"/>
        <w:autoSpaceDN w:val="0"/>
        <w:adjustRightInd w:val="0"/>
        <w:rPr>
          <w:rFonts w:asciiTheme="majorHAnsi" w:eastAsia="Times New Roman" w:hAnsiTheme="majorHAnsi" w:cs="Arial"/>
          <w:b/>
          <w:sz w:val="20"/>
          <w:szCs w:val="20"/>
        </w:rPr>
      </w:pPr>
    </w:p>
    <w:p w:rsidR="00543BA0" w:rsidRPr="005E297B" w:rsidRDefault="00543BA0" w:rsidP="00323D7C">
      <w:pPr>
        <w:autoSpaceDE w:val="0"/>
        <w:autoSpaceDN w:val="0"/>
        <w:adjustRightInd w:val="0"/>
        <w:rPr>
          <w:rFonts w:asciiTheme="majorHAnsi" w:eastAsia="Times New Roman" w:hAnsiTheme="majorHAnsi" w:cs="Arial"/>
          <w:sz w:val="20"/>
          <w:szCs w:val="20"/>
        </w:rPr>
      </w:pPr>
    </w:p>
    <w:sectPr w:rsidR="00543BA0" w:rsidRPr="005E297B" w:rsidSect="00C23A0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5B3" w:rsidRDefault="00CF65B3" w:rsidP="005E297B">
      <w:r>
        <w:separator/>
      </w:r>
    </w:p>
  </w:endnote>
  <w:endnote w:type="continuationSeparator" w:id="0">
    <w:p w:rsidR="00CF65B3" w:rsidRDefault="00CF65B3" w:rsidP="005E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ReferenceSansSeri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00515"/>
      <w:docPartObj>
        <w:docPartGallery w:val="Page Numbers (Bottom of Page)"/>
        <w:docPartUnique/>
      </w:docPartObj>
    </w:sdtPr>
    <w:sdtEndPr>
      <w:rPr>
        <w:noProof/>
      </w:rPr>
    </w:sdtEndPr>
    <w:sdtContent>
      <w:p w:rsidR="00CF65B3" w:rsidRDefault="00CF65B3">
        <w:pPr>
          <w:pStyle w:val="Footer"/>
          <w:jc w:val="center"/>
        </w:pPr>
        <w:r>
          <w:fldChar w:fldCharType="begin"/>
        </w:r>
        <w:r>
          <w:instrText xml:space="preserve"> PAGE   \* MERGEFORMAT </w:instrText>
        </w:r>
        <w:r>
          <w:fldChar w:fldCharType="separate"/>
        </w:r>
        <w:r w:rsidR="00A323E2">
          <w:rPr>
            <w:noProof/>
          </w:rPr>
          <w:t>1</w:t>
        </w:r>
        <w:r>
          <w:rPr>
            <w:noProof/>
          </w:rPr>
          <w:fldChar w:fldCharType="end"/>
        </w:r>
      </w:p>
    </w:sdtContent>
  </w:sdt>
  <w:p w:rsidR="00CF65B3" w:rsidRDefault="00CF6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5B3" w:rsidRDefault="00CF65B3" w:rsidP="005E297B">
      <w:r>
        <w:separator/>
      </w:r>
    </w:p>
  </w:footnote>
  <w:footnote w:type="continuationSeparator" w:id="0">
    <w:p w:rsidR="00CF65B3" w:rsidRDefault="00CF65B3" w:rsidP="005E2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64F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532382"/>
    <w:multiLevelType w:val="hybridMultilevel"/>
    <w:tmpl w:val="BC5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F71F3"/>
    <w:multiLevelType w:val="hybridMultilevel"/>
    <w:tmpl w:val="78A00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6D42579"/>
    <w:multiLevelType w:val="hybridMultilevel"/>
    <w:tmpl w:val="16E6C89C"/>
    <w:lvl w:ilvl="0" w:tplc="8312B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533E0"/>
    <w:multiLevelType w:val="hybridMultilevel"/>
    <w:tmpl w:val="961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637F9"/>
    <w:multiLevelType w:val="hybridMultilevel"/>
    <w:tmpl w:val="288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E5"/>
    <w:rsid w:val="00005989"/>
    <w:rsid w:val="000117AF"/>
    <w:rsid w:val="00012383"/>
    <w:rsid w:val="00015FDA"/>
    <w:rsid w:val="00016E40"/>
    <w:rsid w:val="00017A32"/>
    <w:rsid w:val="00017BF4"/>
    <w:rsid w:val="0002061D"/>
    <w:rsid w:val="00022079"/>
    <w:rsid w:val="00022E02"/>
    <w:rsid w:val="000234F9"/>
    <w:rsid w:val="00036DAA"/>
    <w:rsid w:val="00041ACF"/>
    <w:rsid w:val="0004610B"/>
    <w:rsid w:val="000465A7"/>
    <w:rsid w:val="00052BB8"/>
    <w:rsid w:val="000607C2"/>
    <w:rsid w:val="00067872"/>
    <w:rsid w:val="000725F8"/>
    <w:rsid w:val="00072721"/>
    <w:rsid w:val="00073D4F"/>
    <w:rsid w:val="00074C03"/>
    <w:rsid w:val="0007552F"/>
    <w:rsid w:val="000811C4"/>
    <w:rsid w:val="000813F1"/>
    <w:rsid w:val="000827FE"/>
    <w:rsid w:val="00082DAE"/>
    <w:rsid w:val="000830CE"/>
    <w:rsid w:val="00083C87"/>
    <w:rsid w:val="000848E6"/>
    <w:rsid w:val="000874FB"/>
    <w:rsid w:val="000876D9"/>
    <w:rsid w:val="00087F8E"/>
    <w:rsid w:val="000910EB"/>
    <w:rsid w:val="00091682"/>
    <w:rsid w:val="000936B6"/>
    <w:rsid w:val="000A4223"/>
    <w:rsid w:val="000A66B9"/>
    <w:rsid w:val="000B0515"/>
    <w:rsid w:val="000B129F"/>
    <w:rsid w:val="000B30A5"/>
    <w:rsid w:val="000B60F4"/>
    <w:rsid w:val="000C38DA"/>
    <w:rsid w:val="000C3E27"/>
    <w:rsid w:val="000C55CB"/>
    <w:rsid w:val="000D2040"/>
    <w:rsid w:val="000D490E"/>
    <w:rsid w:val="000D63E0"/>
    <w:rsid w:val="000D6BCF"/>
    <w:rsid w:val="000D7FA8"/>
    <w:rsid w:val="000E0D68"/>
    <w:rsid w:val="000E25FD"/>
    <w:rsid w:val="000E40AB"/>
    <w:rsid w:val="000E7A46"/>
    <w:rsid w:val="000F0BC4"/>
    <w:rsid w:val="000F50B3"/>
    <w:rsid w:val="001022E9"/>
    <w:rsid w:val="00104768"/>
    <w:rsid w:val="00105808"/>
    <w:rsid w:val="00105D43"/>
    <w:rsid w:val="0011053D"/>
    <w:rsid w:val="00110D4B"/>
    <w:rsid w:val="00114491"/>
    <w:rsid w:val="001148ED"/>
    <w:rsid w:val="00116BC5"/>
    <w:rsid w:val="00120370"/>
    <w:rsid w:val="00120BC6"/>
    <w:rsid w:val="00125DB2"/>
    <w:rsid w:val="00131E26"/>
    <w:rsid w:val="001344FA"/>
    <w:rsid w:val="00137F3A"/>
    <w:rsid w:val="00141D6B"/>
    <w:rsid w:val="0014274C"/>
    <w:rsid w:val="00143EE1"/>
    <w:rsid w:val="00144E73"/>
    <w:rsid w:val="00146CEC"/>
    <w:rsid w:val="001504ED"/>
    <w:rsid w:val="00152FFA"/>
    <w:rsid w:val="0015521D"/>
    <w:rsid w:val="001657B2"/>
    <w:rsid w:val="0016771D"/>
    <w:rsid w:val="0017003E"/>
    <w:rsid w:val="00180FAB"/>
    <w:rsid w:val="0018303D"/>
    <w:rsid w:val="001864C2"/>
    <w:rsid w:val="00190F5F"/>
    <w:rsid w:val="001926FC"/>
    <w:rsid w:val="00192FD3"/>
    <w:rsid w:val="001A0668"/>
    <w:rsid w:val="001A1C71"/>
    <w:rsid w:val="001A290D"/>
    <w:rsid w:val="001A55E9"/>
    <w:rsid w:val="001B2410"/>
    <w:rsid w:val="001B3B83"/>
    <w:rsid w:val="001B756B"/>
    <w:rsid w:val="001E6FBC"/>
    <w:rsid w:val="001F16BB"/>
    <w:rsid w:val="00202BBF"/>
    <w:rsid w:val="002064F1"/>
    <w:rsid w:val="00213733"/>
    <w:rsid w:val="00215B5D"/>
    <w:rsid w:val="0021779D"/>
    <w:rsid w:val="0022539C"/>
    <w:rsid w:val="002278D0"/>
    <w:rsid w:val="00232015"/>
    <w:rsid w:val="00232500"/>
    <w:rsid w:val="0023666B"/>
    <w:rsid w:val="00237699"/>
    <w:rsid w:val="0024087F"/>
    <w:rsid w:val="0025642A"/>
    <w:rsid w:val="002605DD"/>
    <w:rsid w:val="00261D10"/>
    <w:rsid w:val="00285911"/>
    <w:rsid w:val="002904BF"/>
    <w:rsid w:val="00290ED1"/>
    <w:rsid w:val="00294437"/>
    <w:rsid w:val="002959DD"/>
    <w:rsid w:val="00295A9C"/>
    <w:rsid w:val="00297B1E"/>
    <w:rsid w:val="002A2780"/>
    <w:rsid w:val="002A6EA7"/>
    <w:rsid w:val="002B061A"/>
    <w:rsid w:val="002B270C"/>
    <w:rsid w:val="002B2715"/>
    <w:rsid w:val="002B2A6F"/>
    <w:rsid w:val="002B41B2"/>
    <w:rsid w:val="002B5B6F"/>
    <w:rsid w:val="002C545E"/>
    <w:rsid w:val="002D042F"/>
    <w:rsid w:val="002D379F"/>
    <w:rsid w:val="002D734A"/>
    <w:rsid w:val="002D7C6B"/>
    <w:rsid w:val="002E0498"/>
    <w:rsid w:val="002E08B3"/>
    <w:rsid w:val="002E5772"/>
    <w:rsid w:val="002E65E1"/>
    <w:rsid w:val="002F1425"/>
    <w:rsid w:val="002F4F8D"/>
    <w:rsid w:val="002F6172"/>
    <w:rsid w:val="002F7051"/>
    <w:rsid w:val="0030121B"/>
    <w:rsid w:val="00305F6B"/>
    <w:rsid w:val="003065EE"/>
    <w:rsid w:val="00310047"/>
    <w:rsid w:val="003116D3"/>
    <w:rsid w:val="00316BE1"/>
    <w:rsid w:val="00323D7C"/>
    <w:rsid w:val="0032492F"/>
    <w:rsid w:val="003255BB"/>
    <w:rsid w:val="00333FC1"/>
    <w:rsid w:val="00334DFF"/>
    <w:rsid w:val="0034697A"/>
    <w:rsid w:val="00347D06"/>
    <w:rsid w:val="003531AA"/>
    <w:rsid w:val="003538FC"/>
    <w:rsid w:val="00360960"/>
    <w:rsid w:val="00360CD6"/>
    <w:rsid w:val="0036260F"/>
    <w:rsid w:val="00364A7A"/>
    <w:rsid w:val="00373223"/>
    <w:rsid w:val="00377515"/>
    <w:rsid w:val="00386384"/>
    <w:rsid w:val="00386960"/>
    <w:rsid w:val="00386D70"/>
    <w:rsid w:val="0039200C"/>
    <w:rsid w:val="003965DD"/>
    <w:rsid w:val="003A0293"/>
    <w:rsid w:val="003A0DF4"/>
    <w:rsid w:val="003A0E03"/>
    <w:rsid w:val="003A1053"/>
    <w:rsid w:val="003A2E54"/>
    <w:rsid w:val="003A45FF"/>
    <w:rsid w:val="003A7062"/>
    <w:rsid w:val="003B109E"/>
    <w:rsid w:val="003B1717"/>
    <w:rsid w:val="003B6106"/>
    <w:rsid w:val="003B7CE6"/>
    <w:rsid w:val="003C016D"/>
    <w:rsid w:val="003C2739"/>
    <w:rsid w:val="003D026B"/>
    <w:rsid w:val="003D2C62"/>
    <w:rsid w:val="003D3DCD"/>
    <w:rsid w:val="003E183C"/>
    <w:rsid w:val="003E67A1"/>
    <w:rsid w:val="003E67F3"/>
    <w:rsid w:val="003F2B89"/>
    <w:rsid w:val="003F39F0"/>
    <w:rsid w:val="003F4650"/>
    <w:rsid w:val="003F61C4"/>
    <w:rsid w:val="00400148"/>
    <w:rsid w:val="00402F51"/>
    <w:rsid w:val="00407081"/>
    <w:rsid w:val="00407468"/>
    <w:rsid w:val="004076E5"/>
    <w:rsid w:val="00407F92"/>
    <w:rsid w:val="0041085C"/>
    <w:rsid w:val="004109AF"/>
    <w:rsid w:val="004127C1"/>
    <w:rsid w:val="00415840"/>
    <w:rsid w:val="00416886"/>
    <w:rsid w:val="00417CE6"/>
    <w:rsid w:val="0042203C"/>
    <w:rsid w:val="004232E1"/>
    <w:rsid w:val="0042779B"/>
    <w:rsid w:val="00431BDE"/>
    <w:rsid w:val="00432E61"/>
    <w:rsid w:val="00436B98"/>
    <w:rsid w:val="00440C96"/>
    <w:rsid w:val="00441919"/>
    <w:rsid w:val="00442E81"/>
    <w:rsid w:val="00444DCF"/>
    <w:rsid w:val="00446094"/>
    <w:rsid w:val="004527E0"/>
    <w:rsid w:val="00456056"/>
    <w:rsid w:val="00457124"/>
    <w:rsid w:val="00463FB1"/>
    <w:rsid w:val="00472401"/>
    <w:rsid w:val="00472883"/>
    <w:rsid w:val="00473986"/>
    <w:rsid w:val="004764E3"/>
    <w:rsid w:val="004920B3"/>
    <w:rsid w:val="00495E73"/>
    <w:rsid w:val="0049733C"/>
    <w:rsid w:val="004A16D6"/>
    <w:rsid w:val="004A7844"/>
    <w:rsid w:val="004B067E"/>
    <w:rsid w:val="004B2D6A"/>
    <w:rsid w:val="004B66FB"/>
    <w:rsid w:val="004B6D63"/>
    <w:rsid w:val="004C002A"/>
    <w:rsid w:val="004C7341"/>
    <w:rsid w:val="004C7833"/>
    <w:rsid w:val="004C795B"/>
    <w:rsid w:val="004D3176"/>
    <w:rsid w:val="004D34D6"/>
    <w:rsid w:val="004D3D53"/>
    <w:rsid w:val="004E0A30"/>
    <w:rsid w:val="004E59B0"/>
    <w:rsid w:val="004E7397"/>
    <w:rsid w:val="004F1CFB"/>
    <w:rsid w:val="004F30D4"/>
    <w:rsid w:val="004F4A33"/>
    <w:rsid w:val="004F4FAD"/>
    <w:rsid w:val="004F6640"/>
    <w:rsid w:val="004F6D93"/>
    <w:rsid w:val="005021F8"/>
    <w:rsid w:val="00516D73"/>
    <w:rsid w:val="00517C29"/>
    <w:rsid w:val="00522446"/>
    <w:rsid w:val="00522FCD"/>
    <w:rsid w:val="00523C49"/>
    <w:rsid w:val="00524F8C"/>
    <w:rsid w:val="00525673"/>
    <w:rsid w:val="00527A7F"/>
    <w:rsid w:val="00532CE4"/>
    <w:rsid w:val="00533DB1"/>
    <w:rsid w:val="00533DB8"/>
    <w:rsid w:val="00534ED5"/>
    <w:rsid w:val="00536C8A"/>
    <w:rsid w:val="00543BA0"/>
    <w:rsid w:val="00545A28"/>
    <w:rsid w:val="00546513"/>
    <w:rsid w:val="0055018C"/>
    <w:rsid w:val="0055038D"/>
    <w:rsid w:val="00550B30"/>
    <w:rsid w:val="00553FB0"/>
    <w:rsid w:val="00555665"/>
    <w:rsid w:val="00562411"/>
    <w:rsid w:val="00566C89"/>
    <w:rsid w:val="00567067"/>
    <w:rsid w:val="0057101E"/>
    <w:rsid w:val="005773F7"/>
    <w:rsid w:val="0058082A"/>
    <w:rsid w:val="00582A1C"/>
    <w:rsid w:val="005864FD"/>
    <w:rsid w:val="00590474"/>
    <w:rsid w:val="00590783"/>
    <w:rsid w:val="00590966"/>
    <w:rsid w:val="00590ED1"/>
    <w:rsid w:val="005A1ABD"/>
    <w:rsid w:val="005A41CC"/>
    <w:rsid w:val="005A6ED3"/>
    <w:rsid w:val="005B5D55"/>
    <w:rsid w:val="005B5FEC"/>
    <w:rsid w:val="005C1903"/>
    <w:rsid w:val="005C428F"/>
    <w:rsid w:val="005C4E0A"/>
    <w:rsid w:val="005D03F9"/>
    <w:rsid w:val="005D1D16"/>
    <w:rsid w:val="005D4ADA"/>
    <w:rsid w:val="005E0329"/>
    <w:rsid w:val="005E297B"/>
    <w:rsid w:val="005E43CA"/>
    <w:rsid w:val="005E489A"/>
    <w:rsid w:val="005F1DBE"/>
    <w:rsid w:val="005F32EE"/>
    <w:rsid w:val="00601310"/>
    <w:rsid w:val="00605C71"/>
    <w:rsid w:val="00611377"/>
    <w:rsid w:val="00613AEB"/>
    <w:rsid w:val="006227D7"/>
    <w:rsid w:val="006228D4"/>
    <w:rsid w:val="0062529F"/>
    <w:rsid w:val="006312DD"/>
    <w:rsid w:val="00632185"/>
    <w:rsid w:val="006327FB"/>
    <w:rsid w:val="006333B4"/>
    <w:rsid w:val="00635168"/>
    <w:rsid w:val="006355B3"/>
    <w:rsid w:val="006368C6"/>
    <w:rsid w:val="00647F0F"/>
    <w:rsid w:val="00652F50"/>
    <w:rsid w:val="00662623"/>
    <w:rsid w:val="006635C1"/>
    <w:rsid w:val="006679DE"/>
    <w:rsid w:val="006730D5"/>
    <w:rsid w:val="00673716"/>
    <w:rsid w:val="0067377F"/>
    <w:rsid w:val="006740AA"/>
    <w:rsid w:val="00675D42"/>
    <w:rsid w:val="006777A2"/>
    <w:rsid w:val="0068022C"/>
    <w:rsid w:val="00680E81"/>
    <w:rsid w:val="00682DB7"/>
    <w:rsid w:val="006871EB"/>
    <w:rsid w:val="006913A0"/>
    <w:rsid w:val="00693723"/>
    <w:rsid w:val="00697479"/>
    <w:rsid w:val="006A3331"/>
    <w:rsid w:val="006C6164"/>
    <w:rsid w:val="006D2BC9"/>
    <w:rsid w:val="006D477D"/>
    <w:rsid w:val="006E0005"/>
    <w:rsid w:val="006E1532"/>
    <w:rsid w:val="006E2953"/>
    <w:rsid w:val="006F2289"/>
    <w:rsid w:val="006F2BB4"/>
    <w:rsid w:val="006F42F4"/>
    <w:rsid w:val="006F5099"/>
    <w:rsid w:val="0071036A"/>
    <w:rsid w:val="00714FD3"/>
    <w:rsid w:val="00717C91"/>
    <w:rsid w:val="00721723"/>
    <w:rsid w:val="00725888"/>
    <w:rsid w:val="007279C8"/>
    <w:rsid w:val="00730AA4"/>
    <w:rsid w:val="007341B9"/>
    <w:rsid w:val="00741767"/>
    <w:rsid w:val="00744071"/>
    <w:rsid w:val="00745E12"/>
    <w:rsid w:val="00751776"/>
    <w:rsid w:val="00751837"/>
    <w:rsid w:val="0075274A"/>
    <w:rsid w:val="007534C0"/>
    <w:rsid w:val="00753D21"/>
    <w:rsid w:val="0075798B"/>
    <w:rsid w:val="0076107D"/>
    <w:rsid w:val="00766599"/>
    <w:rsid w:val="00770563"/>
    <w:rsid w:val="00772F5D"/>
    <w:rsid w:val="0077400A"/>
    <w:rsid w:val="00775AAB"/>
    <w:rsid w:val="0077698F"/>
    <w:rsid w:val="00777E11"/>
    <w:rsid w:val="00781E65"/>
    <w:rsid w:val="00781E69"/>
    <w:rsid w:val="00783023"/>
    <w:rsid w:val="00785425"/>
    <w:rsid w:val="007858F6"/>
    <w:rsid w:val="00785F2F"/>
    <w:rsid w:val="00791D13"/>
    <w:rsid w:val="00793434"/>
    <w:rsid w:val="00795017"/>
    <w:rsid w:val="007956E8"/>
    <w:rsid w:val="00797BFD"/>
    <w:rsid w:val="007A0CBD"/>
    <w:rsid w:val="007A3801"/>
    <w:rsid w:val="007A39D5"/>
    <w:rsid w:val="007A621B"/>
    <w:rsid w:val="007A7C7D"/>
    <w:rsid w:val="007B4937"/>
    <w:rsid w:val="007B736B"/>
    <w:rsid w:val="007C28F3"/>
    <w:rsid w:val="007C52CA"/>
    <w:rsid w:val="007C5FEF"/>
    <w:rsid w:val="007C662C"/>
    <w:rsid w:val="007D0286"/>
    <w:rsid w:val="007D0ACC"/>
    <w:rsid w:val="007D0F90"/>
    <w:rsid w:val="007D154D"/>
    <w:rsid w:val="007D6031"/>
    <w:rsid w:val="007D7296"/>
    <w:rsid w:val="007E1858"/>
    <w:rsid w:val="007E2098"/>
    <w:rsid w:val="007F1539"/>
    <w:rsid w:val="00802CBD"/>
    <w:rsid w:val="00805D0C"/>
    <w:rsid w:val="00810B5A"/>
    <w:rsid w:val="0081247F"/>
    <w:rsid w:val="0081677C"/>
    <w:rsid w:val="0081684F"/>
    <w:rsid w:val="00831829"/>
    <w:rsid w:val="00833559"/>
    <w:rsid w:val="008348CE"/>
    <w:rsid w:val="0083678B"/>
    <w:rsid w:val="008378B6"/>
    <w:rsid w:val="00840108"/>
    <w:rsid w:val="00850AEC"/>
    <w:rsid w:val="0085372D"/>
    <w:rsid w:val="008571EC"/>
    <w:rsid w:val="00862CD2"/>
    <w:rsid w:val="00870071"/>
    <w:rsid w:val="008732B3"/>
    <w:rsid w:val="008739CF"/>
    <w:rsid w:val="0087638B"/>
    <w:rsid w:val="00880B82"/>
    <w:rsid w:val="00881F46"/>
    <w:rsid w:val="008845C2"/>
    <w:rsid w:val="008860C0"/>
    <w:rsid w:val="00890983"/>
    <w:rsid w:val="008911FA"/>
    <w:rsid w:val="0089232D"/>
    <w:rsid w:val="008A48D3"/>
    <w:rsid w:val="008A5195"/>
    <w:rsid w:val="008A67C2"/>
    <w:rsid w:val="008A77AF"/>
    <w:rsid w:val="008B0F7C"/>
    <w:rsid w:val="008B5721"/>
    <w:rsid w:val="008C204A"/>
    <w:rsid w:val="008C3825"/>
    <w:rsid w:val="008C591B"/>
    <w:rsid w:val="008C7F91"/>
    <w:rsid w:val="008D38C0"/>
    <w:rsid w:val="008E0192"/>
    <w:rsid w:val="008E03B8"/>
    <w:rsid w:val="008E0E47"/>
    <w:rsid w:val="008E4B72"/>
    <w:rsid w:val="008E5A1F"/>
    <w:rsid w:val="008E6109"/>
    <w:rsid w:val="008E75F8"/>
    <w:rsid w:val="008F5560"/>
    <w:rsid w:val="00904C8A"/>
    <w:rsid w:val="00906EE6"/>
    <w:rsid w:val="009117DE"/>
    <w:rsid w:val="00915C95"/>
    <w:rsid w:val="00935A60"/>
    <w:rsid w:val="00941F5A"/>
    <w:rsid w:val="00944045"/>
    <w:rsid w:val="00946CAF"/>
    <w:rsid w:val="0095472E"/>
    <w:rsid w:val="0095491E"/>
    <w:rsid w:val="0095637A"/>
    <w:rsid w:val="00957A60"/>
    <w:rsid w:val="009658AA"/>
    <w:rsid w:val="00970B23"/>
    <w:rsid w:val="009719C5"/>
    <w:rsid w:val="00971ADE"/>
    <w:rsid w:val="009736B8"/>
    <w:rsid w:val="00980DAE"/>
    <w:rsid w:val="0098100B"/>
    <w:rsid w:val="009837B4"/>
    <w:rsid w:val="009842CD"/>
    <w:rsid w:val="00991966"/>
    <w:rsid w:val="009964F0"/>
    <w:rsid w:val="009965C0"/>
    <w:rsid w:val="009A1CA0"/>
    <w:rsid w:val="009A43CE"/>
    <w:rsid w:val="009A5832"/>
    <w:rsid w:val="009B0924"/>
    <w:rsid w:val="009B0C39"/>
    <w:rsid w:val="009B1ACF"/>
    <w:rsid w:val="009B2721"/>
    <w:rsid w:val="009B5E48"/>
    <w:rsid w:val="009B6E2A"/>
    <w:rsid w:val="009C4C11"/>
    <w:rsid w:val="009C51F7"/>
    <w:rsid w:val="009C569C"/>
    <w:rsid w:val="009D0EE8"/>
    <w:rsid w:val="009D751B"/>
    <w:rsid w:val="009E1C6E"/>
    <w:rsid w:val="009E1D51"/>
    <w:rsid w:val="009E271B"/>
    <w:rsid w:val="009E608B"/>
    <w:rsid w:val="009E7082"/>
    <w:rsid w:val="009F1266"/>
    <w:rsid w:val="009F482A"/>
    <w:rsid w:val="009F750E"/>
    <w:rsid w:val="00A00E1D"/>
    <w:rsid w:val="00A04DEA"/>
    <w:rsid w:val="00A06886"/>
    <w:rsid w:val="00A10A40"/>
    <w:rsid w:val="00A15B76"/>
    <w:rsid w:val="00A17F9A"/>
    <w:rsid w:val="00A323E2"/>
    <w:rsid w:val="00A3345F"/>
    <w:rsid w:val="00A4154A"/>
    <w:rsid w:val="00A429A6"/>
    <w:rsid w:val="00A47516"/>
    <w:rsid w:val="00A55476"/>
    <w:rsid w:val="00A55F99"/>
    <w:rsid w:val="00A56E9D"/>
    <w:rsid w:val="00A60692"/>
    <w:rsid w:val="00A60CAF"/>
    <w:rsid w:val="00A60E95"/>
    <w:rsid w:val="00A67244"/>
    <w:rsid w:val="00A674AA"/>
    <w:rsid w:val="00A67E96"/>
    <w:rsid w:val="00A73D2E"/>
    <w:rsid w:val="00A73D33"/>
    <w:rsid w:val="00A76F23"/>
    <w:rsid w:val="00A7778D"/>
    <w:rsid w:val="00A8186D"/>
    <w:rsid w:val="00A83531"/>
    <w:rsid w:val="00A86417"/>
    <w:rsid w:val="00A909FF"/>
    <w:rsid w:val="00A91669"/>
    <w:rsid w:val="00A94D00"/>
    <w:rsid w:val="00A97F0B"/>
    <w:rsid w:val="00AA0860"/>
    <w:rsid w:val="00AA26C5"/>
    <w:rsid w:val="00AA43CD"/>
    <w:rsid w:val="00AA7079"/>
    <w:rsid w:val="00AA7718"/>
    <w:rsid w:val="00AA7E13"/>
    <w:rsid w:val="00AB3E56"/>
    <w:rsid w:val="00AB4AAD"/>
    <w:rsid w:val="00AB556E"/>
    <w:rsid w:val="00AB73E5"/>
    <w:rsid w:val="00AB7EBE"/>
    <w:rsid w:val="00AC0D42"/>
    <w:rsid w:val="00AC2216"/>
    <w:rsid w:val="00AC2E00"/>
    <w:rsid w:val="00AC56C9"/>
    <w:rsid w:val="00AD3386"/>
    <w:rsid w:val="00AD3C33"/>
    <w:rsid w:val="00AD5B61"/>
    <w:rsid w:val="00AD5D37"/>
    <w:rsid w:val="00AE0CFB"/>
    <w:rsid w:val="00AE2422"/>
    <w:rsid w:val="00AE31D0"/>
    <w:rsid w:val="00AF0026"/>
    <w:rsid w:val="00AF10EE"/>
    <w:rsid w:val="00AF286C"/>
    <w:rsid w:val="00AF7809"/>
    <w:rsid w:val="00B005A3"/>
    <w:rsid w:val="00B04FD2"/>
    <w:rsid w:val="00B10D10"/>
    <w:rsid w:val="00B14167"/>
    <w:rsid w:val="00B158F6"/>
    <w:rsid w:val="00B31D90"/>
    <w:rsid w:val="00B3513B"/>
    <w:rsid w:val="00B458FF"/>
    <w:rsid w:val="00B511F0"/>
    <w:rsid w:val="00B623C9"/>
    <w:rsid w:val="00B639E0"/>
    <w:rsid w:val="00B70DFA"/>
    <w:rsid w:val="00B74437"/>
    <w:rsid w:val="00B75FF3"/>
    <w:rsid w:val="00B83D67"/>
    <w:rsid w:val="00B84AED"/>
    <w:rsid w:val="00B90265"/>
    <w:rsid w:val="00B90BAA"/>
    <w:rsid w:val="00B921B8"/>
    <w:rsid w:val="00B9299D"/>
    <w:rsid w:val="00B971FA"/>
    <w:rsid w:val="00BA0F57"/>
    <w:rsid w:val="00BB03E5"/>
    <w:rsid w:val="00BB1D20"/>
    <w:rsid w:val="00BB600D"/>
    <w:rsid w:val="00BB7426"/>
    <w:rsid w:val="00BC0B0A"/>
    <w:rsid w:val="00BC1970"/>
    <w:rsid w:val="00BC61B3"/>
    <w:rsid w:val="00BC6DA1"/>
    <w:rsid w:val="00BD38B0"/>
    <w:rsid w:val="00BD3AE5"/>
    <w:rsid w:val="00BD4AD8"/>
    <w:rsid w:val="00BD4ADB"/>
    <w:rsid w:val="00BD5BEA"/>
    <w:rsid w:val="00BD6060"/>
    <w:rsid w:val="00BD6F2A"/>
    <w:rsid w:val="00BE0448"/>
    <w:rsid w:val="00BE2AB2"/>
    <w:rsid w:val="00BE4383"/>
    <w:rsid w:val="00BF6D67"/>
    <w:rsid w:val="00C00DF4"/>
    <w:rsid w:val="00C01C9F"/>
    <w:rsid w:val="00C1099B"/>
    <w:rsid w:val="00C1432D"/>
    <w:rsid w:val="00C1755A"/>
    <w:rsid w:val="00C23A07"/>
    <w:rsid w:val="00C23BE9"/>
    <w:rsid w:val="00C30344"/>
    <w:rsid w:val="00C30B43"/>
    <w:rsid w:val="00C311C6"/>
    <w:rsid w:val="00C342B6"/>
    <w:rsid w:val="00C344F9"/>
    <w:rsid w:val="00C34AC3"/>
    <w:rsid w:val="00C36C86"/>
    <w:rsid w:val="00C37B85"/>
    <w:rsid w:val="00C419E6"/>
    <w:rsid w:val="00C41B6A"/>
    <w:rsid w:val="00C4473E"/>
    <w:rsid w:val="00C4670E"/>
    <w:rsid w:val="00C47473"/>
    <w:rsid w:val="00C57878"/>
    <w:rsid w:val="00C674A0"/>
    <w:rsid w:val="00C7256E"/>
    <w:rsid w:val="00C7262E"/>
    <w:rsid w:val="00C744B7"/>
    <w:rsid w:val="00C758F0"/>
    <w:rsid w:val="00C820D3"/>
    <w:rsid w:val="00C847EA"/>
    <w:rsid w:val="00C91499"/>
    <w:rsid w:val="00C92468"/>
    <w:rsid w:val="00C97211"/>
    <w:rsid w:val="00C97AB4"/>
    <w:rsid w:val="00CA0A46"/>
    <w:rsid w:val="00CA2520"/>
    <w:rsid w:val="00CA3798"/>
    <w:rsid w:val="00CA3F03"/>
    <w:rsid w:val="00CA4978"/>
    <w:rsid w:val="00CA4CAD"/>
    <w:rsid w:val="00CA7A59"/>
    <w:rsid w:val="00CB0CB8"/>
    <w:rsid w:val="00CB36A0"/>
    <w:rsid w:val="00CB3EBC"/>
    <w:rsid w:val="00CB4A48"/>
    <w:rsid w:val="00CC037E"/>
    <w:rsid w:val="00CC0ACD"/>
    <w:rsid w:val="00CC7262"/>
    <w:rsid w:val="00CD019C"/>
    <w:rsid w:val="00CD10CF"/>
    <w:rsid w:val="00CD1DD0"/>
    <w:rsid w:val="00CD5880"/>
    <w:rsid w:val="00CD5AB8"/>
    <w:rsid w:val="00CE1CE2"/>
    <w:rsid w:val="00CE257E"/>
    <w:rsid w:val="00CE591D"/>
    <w:rsid w:val="00CE73A3"/>
    <w:rsid w:val="00CE7BC6"/>
    <w:rsid w:val="00CE7D58"/>
    <w:rsid w:val="00CE7E17"/>
    <w:rsid w:val="00CF203C"/>
    <w:rsid w:val="00CF65B3"/>
    <w:rsid w:val="00CF7686"/>
    <w:rsid w:val="00CF7AFF"/>
    <w:rsid w:val="00CF7CA6"/>
    <w:rsid w:val="00CF7DF1"/>
    <w:rsid w:val="00D01C5F"/>
    <w:rsid w:val="00D02B11"/>
    <w:rsid w:val="00D06559"/>
    <w:rsid w:val="00D07369"/>
    <w:rsid w:val="00D13968"/>
    <w:rsid w:val="00D14F67"/>
    <w:rsid w:val="00D232C1"/>
    <w:rsid w:val="00D24CE5"/>
    <w:rsid w:val="00D269B8"/>
    <w:rsid w:val="00D26AE0"/>
    <w:rsid w:val="00D3720D"/>
    <w:rsid w:val="00D37F9E"/>
    <w:rsid w:val="00D42B0C"/>
    <w:rsid w:val="00D43A7E"/>
    <w:rsid w:val="00D44428"/>
    <w:rsid w:val="00D46BED"/>
    <w:rsid w:val="00D61157"/>
    <w:rsid w:val="00D62B66"/>
    <w:rsid w:val="00D64353"/>
    <w:rsid w:val="00D64F79"/>
    <w:rsid w:val="00D73706"/>
    <w:rsid w:val="00D76196"/>
    <w:rsid w:val="00D80CF0"/>
    <w:rsid w:val="00D83E3A"/>
    <w:rsid w:val="00D861C8"/>
    <w:rsid w:val="00D92707"/>
    <w:rsid w:val="00DA164D"/>
    <w:rsid w:val="00DA2453"/>
    <w:rsid w:val="00DA3DD8"/>
    <w:rsid w:val="00DA5776"/>
    <w:rsid w:val="00DB1785"/>
    <w:rsid w:val="00DB47A2"/>
    <w:rsid w:val="00DB516F"/>
    <w:rsid w:val="00DC022A"/>
    <w:rsid w:val="00DC068A"/>
    <w:rsid w:val="00DC0EBD"/>
    <w:rsid w:val="00DC113D"/>
    <w:rsid w:val="00DC392B"/>
    <w:rsid w:val="00DC3E82"/>
    <w:rsid w:val="00DC4D7A"/>
    <w:rsid w:val="00DC52FB"/>
    <w:rsid w:val="00DC6AAF"/>
    <w:rsid w:val="00DD03BC"/>
    <w:rsid w:val="00DD1669"/>
    <w:rsid w:val="00DD5534"/>
    <w:rsid w:val="00DD6161"/>
    <w:rsid w:val="00DD639E"/>
    <w:rsid w:val="00DD6EC8"/>
    <w:rsid w:val="00DD7E0E"/>
    <w:rsid w:val="00DE428B"/>
    <w:rsid w:val="00DE597A"/>
    <w:rsid w:val="00DF1F9D"/>
    <w:rsid w:val="00DF45BF"/>
    <w:rsid w:val="00E0378A"/>
    <w:rsid w:val="00E07961"/>
    <w:rsid w:val="00E124A4"/>
    <w:rsid w:val="00E145D1"/>
    <w:rsid w:val="00E16100"/>
    <w:rsid w:val="00E1651C"/>
    <w:rsid w:val="00E1699C"/>
    <w:rsid w:val="00E2658A"/>
    <w:rsid w:val="00E26C5F"/>
    <w:rsid w:val="00E32643"/>
    <w:rsid w:val="00E36255"/>
    <w:rsid w:val="00E40B1E"/>
    <w:rsid w:val="00E5629F"/>
    <w:rsid w:val="00E62634"/>
    <w:rsid w:val="00E672E1"/>
    <w:rsid w:val="00E72595"/>
    <w:rsid w:val="00E81E7A"/>
    <w:rsid w:val="00E90DBA"/>
    <w:rsid w:val="00E95997"/>
    <w:rsid w:val="00E96705"/>
    <w:rsid w:val="00EA2D7B"/>
    <w:rsid w:val="00EA6163"/>
    <w:rsid w:val="00EA7E43"/>
    <w:rsid w:val="00EC1967"/>
    <w:rsid w:val="00EC6D69"/>
    <w:rsid w:val="00EC71BF"/>
    <w:rsid w:val="00ED543F"/>
    <w:rsid w:val="00ED729C"/>
    <w:rsid w:val="00EE3508"/>
    <w:rsid w:val="00EE365A"/>
    <w:rsid w:val="00EF0708"/>
    <w:rsid w:val="00EF59ED"/>
    <w:rsid w:val="00EF6539"/>
    <w:rsid w:val="00F011FD"/>
    <w:rsid w:val="00F01F7F"/>
    <w:rsid w:val="00F064E7"/>
    <w:rsid w:val="00F1007C"/>
    <w:rsid w:val="00F101FB"/>
    <w:rsid w:val="00F115D0"/>
    <w:rsid w:val="00F124EA"/>
    <w:rsid w:val="00F13EFF"/>
    <w:rsid w:val="00F150A0"/>
    <w:rsid w:val="00F219FB"/>
    <w:rsid w:val="00F31E8D"/>
    <w:rsid w:val="00F330FB"/>
    <w:rsid w:val="00F35BFB"/>
    <w:rsid w:val="00F370BC"/>
    <w:rsid w:val="00F41197"/>
    <w:rsid w:val="00F43234"/>
    <w:rsid w:val="00F465CA"/>
    <w:rsid w:val="00F47BFE"/>
    <w:rsid w:val="00F5173C"/>
    <w:rsid w:val="00F527BD"/>
    <w:rsid w:val="00F553D2"/>
    <w:rsid w:val="00F56F66"/>
    <w:rsid w:val="00F6091C"/>
    <w:rsid w:val="00F67D2E"/>
    <w:rsid w:val="00F768A9"/>
    <w:rsid w:val="00F7778D"/>
    <w:rsid w:val="00F809AA"/>
    <w:rsid w:val="00F87C7F"/>
    <w:rsid w:val="00F9011E"/>
    <w:rsid w:val="00F90D5F"/>
    <w:rsid w:val="00F922CD"/>
    <w:rsid w:val="00F976BD"/>
    <w:rsid w:val="00F97DA2"/>
    <w:rsid w:val="00FA129E"/>
    <w:rsid w:val="00FA509F"/>
    <w:rsid w:val="00FA6E66"/>
    <w:rsid w:val="00FB0187"/>
    <w:rsid w:val="00FB2285"/>
    <w:rsid w:val="00FB73EF"/>
    <w:rsid w:val="00FC0C63"/>
    <w:rsid w:val="00FC202C"/>
    <w:rsid w:val="00FC606A"/>
    <w:rsid w:val="00FC6EC6"/>
    <w:rsid w:val="00FD1F06"/>
    <w:rsid w:val="00FD5F73"/>
    <w:rsid w:val="00FD7F01"/>
    <w:rsid w:val="00FE0BCE"/>
    <w:rsid w:val="00FE50D2"/>
    <w:rsid w:val="00FF3751"/>
    <w:rsid w:val="00F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224</Value>
      <Value>291</Value>
    </Topic>
    <AdminOrder xmlns="4abed4e2-db5c-4e78-ae88-7ca7a6241065">1-2016</AdminOrder>
  </documentManagement>
</p:properties>
</file>

<file path=customXml/itemProps1.xml><?xml version="1.0" encoding="utf-8"?>
<ds:datastoreItem xmlns:ds="http://schemas.openxmlformats.org/officeDocument/2006/customXml" ds:itemID="{82D9DB62-9D94-472E-8FCF-B3CC98C89E55}"/>
</file>

<file path=customXml/itemProps2.xml><?xml version="1.0" encoding="utf-8"?>
<ds:datastoreItem xmlns:ds="http://schemas.openxmlformats.org/officeDocument/2006/customXml" ds:itemID="{9E91D517-1A59-4981-9F2F-57ADEC8333E3}"/>
</file>

<file path=customXml/itemProps3.xml><?xml version="1.0" encoding="utf-8"?>
<ds:datastoreItem xmlns:ds="http://schemas.openxmlformats.org/officeDocument/2006/customXml" ds:itemID="{5EA3FDB9-A108-494C-A589-3F7ED840E9E5}"/>
</file>

<file path=docProps/app.xml><?xml version="1.0" encoding="utf-8"?>
<Properties xmlns="http://schemas.openxmlformats.org/officeDocument/2006/extended-properties" xmlns:vt="http://schemas.openxmlformats.org/officeDocument/2006/docPropsVTypes">
  <Template>6C11EB42.dotm</Template>
  <TotalTime>1</TotalTime>
  <Pages>2</Pages>
  <Words>808</Words>
  <Characters>4606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the proposed revisions to Subdivision 3/M, general trigger height and falling object protection, and Subdivision 3/E , fall protection</dc:title>
  <dc:creator>Bozicevic Tom</dc:creator>
  <cp:lastModifiedBy>Tawnya Swanson</cp:lastModifiedBy>
  <cp:revision>2</cp:revision>
  <cp:lastPrinted>2016-05-04T18:39:00Z</cp:lastPrinted>
  <dcterms:created xsi:type="dcterms:W3CDTF">2018-02-21T22:30:00Z</dcterms:created>
  <dcterms:modified xsi:type="dcterms:W3CDTF">2018-02-21T22:30:00Z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property>
  <property fmtid="{D5CDD505-2E9C-101B-9397-08002B2CF9AE}" pid="4" name="URL">
    <vt:lpwstr/>
  </property>
  <property fmtid="{D5CDD505-2E9C-101B-9397-08002B2CF9AE}" pid="6" name="ProgramDirectiveNumber">
    <vt:lpwstr/>
  </property>
  <property fmtid="{D5CDD505-2E9C-101B-9397-08002B2CF9AE}" pid="8" name="RuleDivision">
    <vt:lpwstr/>
  </property>
  <property fmtid="{D5CDD505-2E9C-101B-9397-08002B2CF9AE}" pid="9" name="Description1">
    <vt:lpwstr/>
  </property>
</Properties>
</file>