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8D" w:rsidRDefault="00FE608D" w:rsidP="002C372F">
      <w:pPr>
        <w:pStyle w:val="Heading1"/>
        <w:jc w:val="center"/>
      </w:pPr>
      <w:bookmarkStart w:id="0" w:name="_GoBack"/>
      <w:bookmarkEnd w:id="0"/>
    </w:p>
    <w:p w:rsidR="002C372F" w:rsidRPr="00C029A7" w:rsidRDefault="002C372F" w:rsidP="002C372F">
      <w:pPr>
        <w:pStyle w:val="Heading1"/>
        <w:jc w:val="center"/>
        <w:rPr>
          <w:rFonts w:ascii="Arial" w:hAnsi="Arial"/>
        </w:rPr>
      </w:pPr>
      <w:r w:rsidRPr="00C029A7">
        <w:rPr>
          <w:rFonts w:ascii="Arial" w:hAnsi="Arial"/>
        </w:rPr>
        <w:t>Summary of Comments and Agency Decisions</w:t>
      </w:r>
    </w:p>
    <w:p w:rsidR="002C372F" w:rsidRPr="00C029A7" w:rsidRDefault="002C372F" w:rsidP="002C372F">
      <w:pPr>
        <w:rPr>
          <w:rFonts w:ascii="Arial" w:hAnsi="Arial" w:cs="Arial"/>
        </w:rPr>
      </w:pPr>
      <w:r w:rsidRPr="00C029A7">
        <w:rPr>
          <w:rFonts w:ascii="Arial" w:hAnsi="Arial" w:cs="Arial"/>
        </w:rPr>
        <w:t>______________________________________________</w:t>
      </w:r>
      <w:r w:rsidR="00AA3551">
        <w:rPr>
          <w:rFonts w:ascii="Arial" w:hAnsi="Arial" w:cs="Arial"/>
        </w:rPr>
        <w:t>_____________________________</w:t>
      </w:r>
    </w:p>
    <w:p w:rsidR="00AA3551" w:rsidRDefault="00AA3551" w:rsidP="00FD5D99">
      <w:pPr>
        <w:pStyle w:val="Heading2"/>
        <w:spacing w:before="0" w:after="0"/>
        <w:rPr>
          <w:rFonts w:ascii="Arial" w:hAnsi="Arial"/>
        </w:rPr>
      </w:pPr>
    </w:p>
    <w:p w:rsidR="009662AD" w:rsidRPr="00C029A7" w:rsidRDefault="002C372F" w:rsidP="00FD5D99">
      <w:pPr>
        <w:pStyle w:val="Heading2"/>
        <w:spacing w:before="0" w:after="0"/>
        <w:rPr>
          <w:rFonts w:ascii="Arial" w:hAnsi="Arial"/>
          <w:b w:val="0"/>
        </w:rPr>
      </w:pPr>
      <w:r w:rsidRPr="00C029A7">
        <w:rPr>
          <w:rFonts w:ascii="Arial" w:hAnsi="Arial"/>
        </w:rPr>
        <w:t xml:space="preserve">Title: </w:t>
      </w:r>
      <w:r w:rsidR="008B1DB0" w:rsidRPr="00C029A7">
        <w:rPr>
          <w:rFonts w:ascii="Arial" w:hAnsi="Arial"/>
          <w:b w:val="0"/>
        </w:rPr>
        <w:t xml:space="preserve">Electric </w:t>
      </w:r>
      <w:r w:rsidRPr="00C029A7">
        <w:rPr>
          <w:rFonts w:ascii="Arial" w:hAnsi="Arial"/>
          <w:b w:val="0"/>
        </w:rPr>
        <w:t>Power Generation, Transmission and Distribution; OAR 437-002-2300</w:t>
      </w:r>
      <w:r w:rsidR="008B1DB0" w:rsidRPr="00C029A7">
        <w:rPr>
          <w:rFonts w:ascii="Arial" w:hAnsi="Arial"/>
          <w:b w:val="0"/>
        </w:rPr>
        <w:t xml:space="preserve"> </w:t>
      </w:r>
      <w:r w:rsidRPr="00C029A7">
        <w:rPr>
          <w:rFonts w:ascii="Arial" w:hAnsi="Arial"/>
          <w:b w:val="0"/>
        </w:rPr>
        <w:t>through</w:t>
      </w:r>
    </w:p>
    <w:p w:rsidR="002C372F" w:rsidRPr="00C029A7" w:rsidRDefault="002C372F" w:rsidP="00FD5D99">
      <w:pPr>
        <w:pStyle w:val="Heading2"/>
        <w:spacing w:before="0" w:after="0"/>
        <w:rPr>
          <w:rFonts w:ascii="Arial" w:hAnsi="Arial"/>
          <w:b w:val="0"/>
        </w:rPr>
      </w:pPr>
      <w:r w:rsidRPr="00C029A7">
        <w:rPr>
          <w:rFonts w:ascii="Arial" w:hAnsi="Arial"/>
          <w:b w:val="0"/>
        </w:rPr>
        <w:t>437-002-2324,</w:t>
      </w:r>
      <w:r w:rsidR="00080350" w:rsidRPr="00C029A7">
        <w:rPr>
          <w:rFonts w:ascii="Arial" w:hAnsi="Arial"/>
          <w:b w:val="0"/>
        </w:rPr>
        <w:t xml:space="preserve"> </w:t>
      </w:r>
      <w:r w:rsidRPr="00C029A7">
        <w:rPr>
          <w:rFonts w:ascii="Arial" w:hAnsi="Arial"/>
          <w:b w:val="0"/>
        </w:rPr>
        <w:t>for general industry and construction.</w:t>
      </w:r>
    </w:p>
    <w:p w:rsidR="002C372F" w:rsidRPr="00C029A7" w:rsidRDefault="002C372F" w:rsidP="00FD5D99">
      <w:pPr>
        <w:pStyle w:val="Heading2"/>
        <w:spacing w:before="0" w:after="0"/>
        <w:rPr>
          <w:rFonts w:ascii="Arial" w:hAnsi="Arial"/>
        </w:rPr>
      </w:pPr>
      <w:r w:rsidRPr="00C029A7">
        <w:rPr>
          <w:rFonts w:ascii="Arial" w:hAnsi="Arial"/>
        </w:rPr>
        <w:t>Administrative Order Number:</w:t>
      </w:r>
      <w:r w:rsidRPr="00C029A7">
        <w:rPr>
          <w:rFonts w:ascii="Arial" w:hAnsi="Arial"/>
          <w:b w:val="0"/>
        </w:rPr>
        <w:t xml:space="preserve"> 3-2015</w:t>
      </w:r>
    </w:p>
    <w:p w:rsidR="002C372F" w:rsidRPr="00C029A7" w:rsidRDefault="002C372F" w:rsidP="00FD5D99">
      <w:pPr>
        <w:pStyle w:val="Heading2"/>
        <w:spacing w:before="0" w:after="0"/>
        <w:rPr>
          <w:rFonts w:ascii="Arial" w:hAnsi="Arial"/>
        </w:rPr>
      </w:pPr>
      <w:r w:rsidRPr="00C029A7">
        <w:rPr>
          <w:rFonts w:ascii="Arial" w:hAnsi="Arial"/>
        </w:rPr>
        <w:t>Adopted:</w:t>
      </w:r>
      <w:r w:rsidRPr="00C029A7">
        <w:rPr>
          <w:rFonts w:ascii="Arial" w:hAnsi="Arial"/>
          <w:b w:val="0"/>
        </w:rPr>
        <w:t xml:space="preserve"> October 9, 2015</w:t>
      </w:r>
    </w:p>
    <w:p w:rsidR="002C372F" w:rsidRPr="00C029A7" w:rsidRDefault="002C372F" w:rsidP="00FD5D99">
      <w:pPr>
        <w:pStyle w:val="Heading2"/>
        <w:spacing w:before="0" w:after="0"/>
        <w:rPr>
          <w:rFonts w:ascii="Arial" w:hAnsi="Arial"/>
        </w:rPr>
      </w:pPr>
      <w:r w:rsidRPr="00C029A7">
        <w:rPr>
          <w:rFonts w:ascii="Arial" w:hAnsi="Arial"/>
        </w:rPr>
        <w:t>Effective:</w:t>
      </w:r>
      <w:r w:rsidRPr="00C029A7">
        <w:rPr>
          <w:rFonts w:ascii="Arial" w:hAnsi="Arial"/>
          <w:b w:val="0"/>
        </w:rPr>
        <w:t xml:space="preserve"> January 1, 2016 for general industry and construction</w:t>
      </w:r>
    </w:p>
    <w:p w:rsidR="002C372F" w:rsidRPr="00C029A7" w:rsidRDefault="002C372F" w:rsidP="00FD5D99">
      <w:pPr>
        <w:rPr>
          <w:rFonts w:ascii="Arial" w:hAnsi="Arial" w:cs="Arial"/>
        </w:rPr>
      </w:pPr>
      <w:r w:rsidRPr="00C029A7">
        <w:rPr>
          <w:rFonts w:ascii="Arial" w:hAnsi="Arial" w:cs="Arial"/>
        </w:rPr>
        <w:t>______________________________________________</w:t>
      </w:r>
      <w:r w:rsidR="00C029A7">
        <w:rPr>
          <w:rFonts w:ascii="Arial" w:hAnsi="Arial" w:cs="Arial"/>
        </w:rPr>
        <w:t>_____________________________</w:t>
      </w:r>
    </w:p>
    <w:p w:rsidR="00FE608D" w:rsidRDefault="00FE608D" w:rsidP="002C372F">
      <w:pPr>
        <w:pStyle w:val="Heading3"/>
        <w:rPr>
          <w:b/>
          <w:u w:val="single"/>
        </w:rPr>
      </w:pPr>
    </w:p>
    <w:p w:rsidR="002C372F" w:rsidRPr="00C029A7" w:rsidRDefault="002C372F" w:rsidP="002C372F">
      <w:pPr>
        <w:pStyle w:val="Heading3"/>
        <w:rPr>
          <w:rFonts w:ascii="Arial" w:hAnsi="Arial"/>
          <w:b/>
          <w:u w:val="single"/>
        </w:rPr>
      </w:pPr>
      <w:r w:rsidRPr="00C029A7">
        <w:rPr>
          <w:rFonts w:ascii="Arial" w:hAnsi="Arial"/>
          <w:b/>
          <w:u w:val="single"/>
        </w:rPr>
        <w:t>History</w:t>
      </w:r>
    </w:p>
    <w:p w:rsidR="008F359B" w:rsidRDefault="008F359B" w:rsidP="008F359B">
      <w:pPr>
        <w:pStyle w:val="PlainText"/>
        <w:rPr>
          <w:rFonts w:ascii="Arial" w:hAnsi="Arial" w:cs="Arial"/>
        </w:rPr>
      </w:pPr>
      <w:r w:rsidRPr="00972847">
        <w:rPr>
          <w:rFonts w:ascii="Arial" w:hAnsi="Arial" w:cs="Arial"/>
        </w:rPr>
        <w:t xml:space="preserve">In November 2014, Oregon OSHA proposed to adopt Federal OSHA final rules </w:t>
      </w:r>
      <w:r>
        <w:rPr>
          <w:rFonts w:ascii="Arial" w:hAnsi="Arial" w:cs="Arial"/>
        </w:rPr>
        <w:t xml:space="preserve">for Electric Power Generation, Transmission, and Distribution, </w:t>
      </w:r>
      <w:r w:rsidRPr="00972847">
        <w:rPr>
          <w:rFonts w:ascii="Arial" w:hAnsi="Arial" w:cs="Arial"/>
        </w:rPr>
        <w:t>that were published in the April 11, 2014 Federal Register. The proposal included Oregon</w:t>
      </w:r>
      <w:r>
        <w:rPr>
          <w:rFonts w:ascii="Arial" w:hAnsi="Arial" w:cs="Arial"/>
        </w:rPr>
        <w:t>-</w:t>
      </w:r>
      <w:r w:rsidRPr="00972847">
        <w:rPr>
          <w:rFonts w:ascii="Arial" w:hAnsi="Arial" w:cs="Arial"/>
        </w:rPr>
        <w:t xml:space="preserve">initiated changes to the </w:t>
      </w:r>
      <w:r>
        <w:rPr>
          <w:rFonts w:ascii="Arial" w:hAnsi="Arial" w:cs="Arial"/>
        </w:rPr>
        <w:t>f</w:t>
      </w:r>
      <w:r w:rsidRPr="00972847">
        <w:rPr>
          <w:rFonts w:ascii="Arial" w:hAnsi="Arial" w:cs="Arial"/>
        </w:rPr>
        <w:t>ederal rule. Three public hearings were held during November and December of 2014 resulting in several written comments and oral testimony before the comment period closed on December 12</w:t>
      </w:r>
      <w:r>
        <w:rPr>
          <w:rFonts w:ascii="Arial" w:hAnsi="Arial" w:cs="Arial"/>
        </w:rPr>
        <w:t>,</w:t>
      </w:r>
      <w:r w:rsidRPr="00972847">
        <w:rPr>
          <w:rFonts w:ascii="Arial" w:hAnsi="Arial" w:cs="Arial"/>
        </w:rPr>
        <w:t xml:space="preserve"> 2014.</w:t>
      </w:r>
      <w:r>
        <w:rPr>
          <w:rFonts w:ascii="Arial" w:hAnsi="Arial" w:cs="Arial"/>
        </w:rPr>
        <w:t xml:space="preserve"> Most of the comments received concerned the two worker rule exceptions. </w:t>
      </w:r>
      <w:r w:rsidRPr="00972847">
        <w:rPr>
          <w:rFonts w:ascii="Arial" w:hAnsi="Arial" w:cs="Arial"/>
        </w:rPr>
        <w:t>As a result of the comments received, Oregon OSHA decided not to adopt the rule as proposed</w:t>
      </w:r>
      <w:r>
        <w:rPr>
          <w:rFonts w:ascii="Arial" w:hAnsi="Arial" w:cs="Arial"/>
        </w:rPr>
        <w:t xml:space="preserve"> in 2014</w:t>
      </w:r>
      <w:r w:rsidRPr="009728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but </w:t>
      </w:r>
      <w:r w:rsidRPr="00972847">
        <w:rPr>
          <w:rFonts w:ascii="Arial" w:hAnsi="Arial" w:cs="Arial"/>
        </w:rPr>
        <w:t xml:space="preserve">to consider </w:t>
      </w:r>
      <w:r>
        <w:rPr>
          <w:rFonts w:ascii="Arial" w:hAnsi="Arial" w:cs="Arial"/>
        </w:rPr>
        <w:t>an alternative approach</w:t>
      </w:r>
      <w:r w:rsidRPr="00972847">
        <w:rPr>
          <w:rFonts w:ascii="Arial" w:hAnsi="Arial" w:cs="Arial"/>
        </w:rPr>
        <w:t>.</w:t>
      </w:r>
    </w:p>
    <w:p w:rsidR="008F359B" w:rsidRDefault="008F359B" w:rsidP="008F359B">
      <w:pPr>
        <w:pStyle w:val="PlainText"/>
        <w:rPr>
          <w:rFonts w:ascii="Arial" w:hAnsi="Arial" w:cs="Arial"/>
        </w:rPr>
      </w:pPr>
    </w:p>
    <w:p w:rsidR="004529AA" w:rsidRDefault="008F359B" w:rsidP="008F359B">
      <w:pPr>
        <w:pStyle w:val="PlainText"/>
        <w:rPr>
          <w:rFonts w:ascii="Arial" w:hAnsi="Arial" w:cs="Arial"/>
        </w:rPr>
      </w:pPr>
      <w:r w:rsidRPr="00972847">
        <w:rPr>
          <w:rFonts w:ascii="Arial" w:hAnsi="Arial" w:cs="Arial"/>
        </w:rPr>
        <w:t>Two stakeholder meetings were conducted</w:t>
      </w:r>
      <w:r>
        <w:rPr>
          <w:rFonts w:ascii="Arial" w:hAnsi="Arial" w:cs="Arial"/>
        </w:rPr>
        <w:t xml:space="preserve"> in the first half of 2015</w:t>
      </w:r>
      <w:r w:rsidRPr="00972847">
        <w:rPr>
          <w:rFonts w:ascii="Arial" w:hAnsi="Arial" w:cs="Arial"/>
        </w:rPr>
        <w:t xml:space="preserve"> to discuss </w:t>
      </w:r>
      <w:r>
        <w:rPr>
          <w:rFonts w:ascii="Arial" w:hAnsi="Arial" w:cs="Arial"/>
        </w:rPr>
        <w:t>comments along with potential</w:t>
      </w:r>
      <w:r w:rsidRPr="00972847">
        <w:rPr>
          <w:rFonts w:ascii="Arial" w:hAnsi="Arial" w:cs="Arial"/>
        </w:rPr>
        <w:t xml:space="preserve"> changes</w:t>
      </w:r>
      <w:r>
        <w:rPr>
          <w:rFonts w:ascii="Arial" w:hAnsi="Arial" w:cs="Arial"/>
        </w:rPr>
        <w:t xml:space="preserve"> to</w:t>
      </w:r>
      <w:r w:rsidRPr="00972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2014 proposal</w:t>
      </w:r>
      <w:r w:rsidRPr="00972847">
        <w:rPr>
          <w:rFonts w:ascii="Arial" w:hAnsi="Arial" w:cs="Arial"/>
        </w:rPr>
        <w:t xml:space="preserve">. </w:t>
      </w:r>
      <w:r w:rsidRPr="000D7B9D">
        <w:rPr>
          <w:rFonts w:ascii="Arial" w:hAnsi="Arial" w:cs="Arial"/>
        </w:rPr>
        <w:t xml:space="preserve">Oregon OSHA received </w:t>
      </w:r>
      <w:r>
        <w:rPr>
          <w:rFonts w:ascii="Arial" w:hAnsi="Arial" w:cs="Arial"/>
        </w:rPr>
        <w:t xml:space="preserve">input and </w:t>
      </w:r>
      <w:r w:rsidRPr="000D7B9D">
        <w:rPr>
          <w:rFonts w:ascii="Arial" w:hAnsi="Arial" w:cs="Arial"/>
        </w:rPr>
        <w:t xml:space="preserve">support from stakeholders </w:t>
      </w:r>
      <w:r>
        <w:rPr>
          <w:rFonts w:ascii="Arial" w:hAnsi="Arial" w:cs="Arial"/>
        </w:rPr>
        <w:t xml:space="preserve">to combine </w:t>
      </w:r>
      <w:r w:rsidRPr="000D7B9D">
        <w:rPr>
          <w:rFonts w:ascii="Arial" w:hAnsi="Arial" w:cs="Arial"/>
        </w:rPr>
        <w:t>the Electric Power Generation, Transmission, and Distribution standards in Divisions 2/R and 3/V into one rule.</w:t>
      </w:r>
      <w:r>
        <w:rPr>
          <w:rFonts w:ascii="Arial" w:hAnsi="Arial" w:cs="Arial"/>
        </w:rPr>
        <w:t xml:space="preserve"> Oregon OSHA merged 1910.269, in Division 2/R General Industry, and Division 3/V in Construction, </w:t>
      </w:r>
      <w:r w:rsidR="004529AA">
        <w:rPr>
          <w:rFonts w:ascii="Arial" w:hAnsi="Arial" w:cs="Arial"/>
        </w:rPr>
        <w:t xml:space="preserve">as well as Oregon unique rules, </w:t>
      </w:r>
      <w:r>
        <w:rPr>
          <w:rFonts w:ascii="Arial" w:hAnsi="Arial" w:cs="Arial"/>
        </w:rPr>
        <w:t>into</w:t>
      </w:r>
      <w:r w:rsidR="0024054A">
        <w:rPr>
          <w:rFonts w:ascii="Arial" w:hAnsi="Arial" w:cs="Arial"/>
        </w:rPr>
        <w:t xml:space="preserve"> the new </w:t>
      </w:r>
      <w:r w:rsidR="004529AA">
        <w:rPr>
          <w:rFonts w:ascii="Arial" w:hAnsi="Arial" w:cs="Arial"/>
        </w:rPr>
        <w:t xml:space="preserve">single standard, </w:t>
      </w:r>
      <w:r w:rsidR="0024054A">
        <w:rPr>
          <w:rFonts w:ascii="Arial" w:hAnsi="Arial" w:cs="Arial"/>
        </w:rPr>
        <w:t>Division 2/RR</w:t>
      </w:r>
      <w:r w:rsidR="004529AA">
        <w:rPr>
          <w:rFonts w:ascii="Arial" w:hAnsi="Arial" w:cs="Arial"/>
        </w:rPr>
        <w:t xml:space="preserve"> Electric Power Generation, Transmission and Distribution.</w:t>
      </w:r>
    </w:p>
    <w:p w:rsidR="004529AA" w:rsidRDefault="004529AA" w:rsidP="008F359B">
      <w:pPr>
        <w:pStyle w:val="PlainText"/>
        <w:rPr>
          <w:rFonts w:ascii="Arial" w:hAnsi="Arial" w:cs="Arial"/>
        </w:rPr>
      </w:pPr>
    </w:p>
    <w:p w:rsidR="008F359B" w:rsidRDefault="002154C7" w:rsidP="001F4455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In July, 2015 Oregon OSHA pro</w:t>
      </w:r>
      <w:r w:rsidR="008F359B">
        <w:rPr>
          <w:rFonts w:ascii="Arial" w:hAnsi="Arial" w:cs="Arial"/>
        </w:rPr>
        <w:t xml:space="preserve">posed </w:t>
      </w:r>
      <w:r w:rsidR="008F359B" w:rsidRPr="00B34E9C">
        <w:rPr>
          <w:rFonts w:ascii="Arial" w:hAnsi="Arial" w:cs="Arial"/>
        </w:rPr>
        <w:t>rules for Electric Power Generation,</w:t>
      </w:r>
      <w:r w:rsidR="008F359B">
        <w:rPr>
          <w:rFonts w:ascii="Arial" w:hAnsi="Arial" w:cs="Arial"/>
        </w:rPr>
        <w:t xml:space="preserve"> Transmission, and Distribution. Three public hearings were held during August and September 2015. Most of the oral and written comments received concerned: the duties of a Safety Watch, the exception to the two-worker rule, and helicopters.</w:t>
      </w:r>
    </w:p>
    <w:p w:rsidR="0039536F" w:rsidRDefault="0039536F" w:rsidP="001F4455">
      <w:pPr>
        <w:pStyle w:val="PlainText"/>
        <w:rPr>
          <w:rFonts w:ascii="Arial" w:hAnsi="Arial" w:cs="Arial"/>
        </w:rPr>
      </w:pPr>
    </w:p>
    <w:p w:rsidR="008F359B" w:rsidRDefault="008F359B" w:rsidP="008F359B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Pr="00B34E9C">
        <w:rPr>
          <w:rFonts w:ascii="Arial" w:hAnsi="Arial" w:cs="Arial"/>
        </w:rPr>
        <w:t xml:space="preserve">October 5, 2015 Federal </w:t>
      </w:r>
      <w:r>
        <w:rPr>
          <w:rFonts w:ascii="Arial" w:hAnsi="Arial" w:cs="Arial"/>
        </w:rPr>
        <w:t>OSHA published in the Federal Re</w:t>
      </w:r>
      <w:r w:rsidR="0039536F">
        <w:rPr>
          <w:rFonts w:ascii="Arial" w:hAnsi="Arial" w:cs="Arial"/>
        </w:rPr>
        <w:t>gister</w:t>
      </w:r>
      <w:r>
        <w:rPr>
          <w:rFonts w:ascii="Arial" w:hAnsi="Arial" w:cs="Arial"/>
        </w:rPr>
        <w:t xml:space="preserve"> minor language clarifications in rules related to Line Clearance Tree Trimming as well as correcting errors in Table R-6 (Alternative Minimum Approach Distances.) The note for enclosed spaces was removed from Appendix A-3 and placed in Appendix A-5. These corrections have been incorporated in Oregon OSHA’s final rules.</w:t>
      </w:r>
    </w:p>
    <w:p w:rsidR="00B63246" w:rsidRPr="00C029A7" w:rsidRDefault="00B63246" w:rsidP="00B63246">
      <w:pPr>
        <w:pStyle w:val="Heading3"/>
        <w:rPr>
          <w:rFonts w:ascii="Arial" w:hAnsi="Arial"/>
          <w:b/>
          <w:u w:val="single"/>
        </w:rPr>
      </w:pPr>
      <w:r w:rsidRPr="00C029A7">
        <w:rPr>
          <w:rFonts w:ascii="Arial" w:hAnsi="Arial"/>
          <w:b/>
          <w:u w:val="single"/>
        </w:rPr>
        <w:t>Summary and explanation</w:t>
      </w:r>
    </w:p>
    <w:p w:rsidR="00B87416" w:rsidRDefault="00DA55B6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During </w:t>
      </w:r>
      <w:r w:rsidR="00D17D43">
        <w:rPr>
          <w:rFonts w:ascii="Arial" w:hAnsi="Arial" w:cs="Arial"/>
          <w:sz w:val="22"/>
        </w:rPr>
        <w:t>the public hearing phase for</w:t>
      </w:r>
      <w:r w:rsidR="00E1032E">
        <w:rPr>
          <w:rFonts w:ascii="Arial" w:hAnsi="Arial" w:cs="Arial"/>
          <w:sz w:val="22"/>
        </w:rPr>
        <w:t xml:space="preserve"> the proposed rule</w:t>
      </w:r>
      <w:r w:rsidR="0039536F">
        <w:rPr>
          <w:rFonts w:ascii="Arial" w:hAnsi="Arial" w:cs="Arial"/>
          <w:sz w:val="22"/>
        </w:rPr>
        <w:t xml:space="preserve">s, titled </w:t>
      </w:r>
      <w:r w:rsidR="004529AA">
        <w:rPr>
          <w:rFonts w:ascii="Arial" w:hAnsi="Arial" w:cs="Arial"/>
          <w:sz w:val="22"/>
        </w:rPr>
        <w:t>D</w:t>
      </w:r>
      <w:r w:rsidR="0039536F">
        <w:rPr>
          <w:rFonts w:ascii="Arial" w:hAnsi="Arial" w:cs="Arial"/>
          <w:sz w:val="22"/>
        </w:rPr>
        <w:t xml:space="preserve">ivision </w:t>
      </w:r>
      <w:r w:rsidR="004529AA">
        <w:rPr>
          <w:rFonts w:ascii="Arial" w:hAnsi="Arial" w:cs="Arial"/>
          <w:sz w:val="22"/>
        </w:rPr>
        <w:t>2/</w:t>
      </w:r>
      <w:r w:rsidR="0039536F">
        <w:rPr>
          <w:rFonts w:ascii="Arial" w:hAnsi="Arial" w:cs="Arial"/>
          <w:sz w:val="22"/>
        </w:rPr>
        <w:t>RR</w:t>
      </w:r>
      <w:r w:rsidR="00E1032E">
        <w:rPr>
          <w:rFonts w:ascii="Arial" w:hAnsi="Arial" w:cs="Arial"/>
          <w:sz w:val="22"/>
        </w:rPr>
        <w:t xml:space="preserve">, </w:t>
      </w:r>
      <w:r w:rsidR="004529AA">
        <w:rPr>
          <w:rFonts w:ascii="Arial" w:hAnsi="Arial" w:cs="Arial"/>
          <w:sz w:val="22"/>
        </w:rPr>
        <w:t xml:space="preserve">Electric Power Generation Transmission and Distribution, </w:t>
      </w:r>
      <w:r w:rsidR="00E1032E">
        <w:rPr>
          <w:rFonts w:ascii="Arial" w:hAnsi="Arial" w:cs="Arial"/>
          <w:sz w:val="22"/>
        </w:rPr>
        <w:t>both</w:t>
      </w:r>
      <w:r w:rsidR="00D17D43">
        <w:rPr>
          <w:rFonts w:ascii="Arial" w:hAnsi="Arial" w:cs="Arial"/>
          <w:sz w:val="22"/>
        </w:rPr>
        <w:t xml:space="preserve"> </w:t>
      </w:r>
      <w:r w:rsidR="00D935BD">
        <w:rPr>
          <w:rFonts w:ascii="Arial" w:hAnsi="Arial" w:cs="Arial"/>
          <w:sz w:val="22"/>
        </w:rPr>
        <w:t>oral testimony</w:t>
      </w:r>
      <w:r w:rsidR="00B87416">
        <w:rPr>
          <w:rFonts w:ascii="Arial" w:hAnsi="Arial" w:cs="Arial"/>
          <w:sz w:val="22"/>
        </w:rPr>
        <w:t xml:space="preserve"> and</w:t>
      </w:r>
      <w:r w:rsidR="00E1032E">
        <w:rPr>
          <w:rFonts w:ascii="Arial" w:hAnsi="Arial" w:cs="Arial"/>
          <w:sz w:val="22"/>
        </w:rPr>
        <w:t xml:space="preserve"> wr</w:t>
      </w:r>
      <w:r w:rsidR="001F4455">
        <w:rPr>
          <w:rFonts w:ascii="Arial" w:hAnsi="Arial" w:cs="Arial"/>
          <w:sz w:val="22"/>
        </w:rPr>
        <w:t>itten comments were received,</w:t>
      </w:r>
      <w:r w:rsidR="00E1032E">
        <w:rPr>
          <w:rFonts w:ascii="Arial" w:hAnsi="Arial" w:cs="Arial"/>
          <w:sz w:val="22"/>
        </w:rPr>
        <w:t xml:space="preserve"> documented</w:t>
      </w:r>
      <w:r w:rsidR="001F4455">
        <w:rPr>
          <w:rFonts w:ascii="Arial" w:hAnsi="Arial" w:cs="Arial"/>
          <w:sz w:val="22"/>
        </w:rPr>
        <w:t xml:space="preserve"> and considered</w:t>
      </w:r>
      <w:r w:rsidR="00E1032E">
        <w:rPr>
          <w:rFonts w:ascii="Arial" w:hAnsi="Arial" w:cs="Arial"/>
          <w:sz w:val="22"/>
        </w:rPr>
        <w:t xml:space="preserve">. This commentary and </w:t>
      </w:r>
      <w:r w:rsidR="0039536F">
        <w:rPr>
          <w:rFonts w:ascii="Arial" w:hAnsi="Arial" w:cs="Arial"/>
          <w:sz w:val="22"/>
        </w:rPr>
        <w:t xml:space="preserve">the </w:t>
      </w:r>
      <w:r w:rsidR="00E1032E">
        <w:rPr>
          <w:rFonts w:ascii="Arial" w:hAnsi="Arial" w:cs="Arial"/>
          <w:sz w:val="22"/>
        </w:rPr>
        <w:t>Agency</w:t>
      </w:r>
      <w:r w:rsidR="0039536F">
        <w:rPr>
          <w:rFonts w:ascii="Arial" w:hAnsi="Arial" w:cs="Arial"/>
          <w:sz w:val="22"/>
        </w:rPr>
        <w:t>’s</w:t>
      </w:r>
      <w:r w:rsidR="00E1032E">
        <w:rPr>
          <w:rFonts w:ascii="Arial" w:hAnsi="Arial" w:cs="Arial"/>
          <w:sz w:val="22"/>
        </w:rPr>
        <w:t xml:space="preserve"> actions are summarized as follows:</w:t>
      </w:r>
    </w:p>
    <w:p w:rsidR="006E56EE" w:rsidRDefault="006E56EE" w:rsidP="00B63246">
      <w:pPr>
        <w:rPr>
          <w:rFonts w:ascii="Arial" w:hAnsi="Arial" w:cs="Arial"/>
          <w:sz w:val="22"/>
        </w:rPr>
      </w:pPr>
    </w:p>
    <w:p w:rsidR="00B87416" w:rsidRPr="006E56EE" w:rsidRDefault="006E56EE" w:rsidP="00B63246">
      <w:pPr>
        <w:rPr>
          <w:rFonts w:ascii="Arial" w:hAnsi="Arial" w:cs="Arial"/>
          <w:b/>
          <w:sz w:val="22"/>
        </w:rPr>
      </w:pPr>
      <w:r w:rsidRPr="006E56EE">
        <w:rPr>
          <w:rFonts w:ascii="Arial" w:hAnsi="Arial" w:cs="Arial"/>
          <w:b/>
          <w:sz w:val="22"/>
        </w:rPr>
        <w:t>437-002-2311(2)</w:t>
      </w:r>
    </w:p>
    <w:p w:rsidR="00106388" w:rsidRDefault="00B87416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majority of comments were regarding 437-002-2311(2)(b) “Two worker rules</w:t>
      </w:r>
      <w:r w:rsidR="00106388">
        <w:rPr>
          <w:rFonts w:ascii="Arial" w:hAnsi="Arial" w:cs="Arial"/>
          <w:sz w:val="22"/>
        </w:rPr>
        <w:t>: Exception”.</w:t>
      </w:r>
    </w:p>
    <w:p w:rsidR="00B63246" w:rsidRDefault="009C4D5E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Twelve</w:t>
      </w:r>
      <w:r w:rsidR="00106388">
        <w:rPr>
          <w:rFonts w:ascii="Arial" w:hAnsi="Arial" w:cs="Arial"/>
          <w:sz w:val="22"/>
        </w:rPr>
        <w:t xml:space="preserve"> comments</w:t>
      </w:r>
      <w:r w:rsidR="006E56EE" w:rsidRPr="00E36570">
        <w:rPr>
          <w:rFonts w:ascii="Arial" w:hAnsi="Arial" w:cs="Arial"/>
          <w:sz w:val="16"/>
          <w:szCs w:val="16"/>
          <w:vertAlign w:val="superscript"/>
        </w:rPr>
        <w:t>1</w:t>
      </w:r>
      <w:r w:rsidR="00254B6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106388">
        <w:rPr>
          <w:rFonts w:ascii="Arial" w:hAnsi="Arial" w:cs="Arial"/>
          <w:sz w:val="22"/>
        </w:rPr>
        <w:t>were received stating the Oregon OSHA rule should specifically use the language of the federal rule</w:t>
      </w:r>
      <w:r w:rsidR="0039536F">
        <w:rPr>
          <w:rFonts w:ascii="Arial" w:hAnsi="Arial" w:cs="Arial"/>
          <w:sz w:val="22"/>
        </w:rPr>
        <w:t xml:space="preserve"> as published in </w:t>
      </w:r>
      <w:r w:rsidR="00D20F82">
        <w:rPr>
          <w:rFonts w:ascii="Arial" w:hAnsi="Arial" w:cs="Arial"/>
          <w:sz w:val="22"/>
        </w:rPr>
        <w:t xml:space="preserve">29 CFR </w:t>
      </w:r>
      <w:r w:rsidR="00106388">
        <w:rPr>
          <w:rFonts w:ascii="Arial" w:hAnsi="Arial" w:cs="Arial"/>
          <w:sz w:val="22"/>
        </w:rPr>
        <w:t>1910.269(l)(2)(ii).</w:t>
      </w:r>
    </w:p>
    <w:p w:rsidR="009662AD" w:rsidRDefault="009662A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106388" w:rsidRDefault="00106388" w:rsidP="00B63246">
      <w:pPr>
        <w:rPr>
          <w:rFonts w:ascii="Arial" w:hAnsi="Arial" w:cs="Arial"/>
          <w:sz w:val="22"/>
        </w:rPr>
      </w:pPr>
    </w:p>
    <w:p w:rsidR="00F20767" w:rsidRDefault="006E56EE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Agency </w:t>
      </w:r>
      <w:r w:rsidR="0039210B">
        <w:rPr>
          <w:rFonts w:ascii="Arial" w:hAnsi="Arial" w:cs="Arial"/>
          <w:sz w:val="22"/>
        </w:rPr>
        <w:t>rewr</w:t>
      </w:r>
      <w:r w:rsidR="00D935BD">
        <w:rPr>
          <w:rFonts w:ascii="Arial" w:hAnsi="Arial" w:cs="Arial"/>
          <w:sz w:val="22"/>
        </w:rPr>
        <w:t>ote</w:t>
      </w:r>
      <w:r w:rsidR="0039210B">
        <w:rPr>
          <w:rFonts w:ascii="Arial" w:hAnsi="Arial" w:cs="Arial"/>
          <w:sz w:val="22"/>
        </w:rPr>
        <w:t xml:space="preserve"> the exceptions rule</w:t>
      </w:r>
      <w:r>
        <w:rPr>
          <w:rFonts w:ascii="Arial" w:hAnsi="Arial" w:cs="Arial"/>
          <w:sz w:val="22"/>
        </w:rPr>
        <w:t xml:space="preserve"> (2)(b)(A) through (2)(b)(E)(ii) as unique Oregon requirements</w:t>
      </w:r>
      <w:r w:rsidR="00F2076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rather than adopt the existing federal language.</w:t>
      </w:r>
      <w:r w:rsidR="00F20767">
        <w:rPr>
          <w:rFonts w:ascii="Arial" w:hAnsi="Arial" w:cs="Arial"/>
          <w:sz w:val="22"/>
        </w:rPr>
        <w:t xml:space="preserve">  </w:t>
      </w:r>
      <w:r w:rsidR="0039536F">
        <w:rPr>
          <w:rFonts w:ascii="Arial" w:hAnsi="Arial" w:cs="Arial"/>
          <w:sz w:val="22"/>
        </w:rPr>
        <w:t>T</w:t>
      </w:r>
      <w:r w:rsidR="001F4455">
        <w:rPr>
          <w:rFonts w:ascii="Arial" w:hAnsi="Arial" w:cs="Arial"/>
          <w:sz w:val="22"/>
        </w:rPr>
        <w:t>he fede</w:t>
      </w:r>
      <w:r w:rsidR="0039536F">
        <w:rPr>
          <w:rFonts w:ascii="Arial" w:hAnsi="Arial" w:cs="Arial"/>
          <w:sz w:val="22"/>
        </w:rPr>
        <w:t>ral exceptions</w:t>
      </w:r>
      <w:r w:rsidR="00E140F1">
        <w:rPr>
          <w:rFonts w:ascii="Arial" w:hAnsi="Arial" w:cs="Arial"/>
          <w:sz w:val="22"/>
        </w:rPr>
        <w:t xml:space="preserve">, </w:t>
      </w:r>
      <w:r w:rsidR="00E140F1" w:rsidRPr="008530FE">
        <w:rPr>
          <w:rFonts w:ascii="Arial" w:hAnsi="Arial" w:cs="Arial"/>
          <w:sz w:val="22"/>
        </w:rPr>
        <w:t>1910.269(l)(2)(ii)(A),</w:t>
      </w:r>
      <w:r w:rsidR="0039536F">
        <w:rPr>
          <w:rFonts w:ascii="Arial" w:hAnsi="Arial" w:cs="Arial"/>
          <w:sz w:val="22"/>
        </w:rPr>
        <w:t xml:space="preserve"> requirement </w:t>
      </w:r>
      <w:r w:rsidR="001F4455">
        <w:rPr>
          <w:rFonts w:ascii="Arial" w:hAnsi="Arial" w:cs="Arial"/>
          <w:sz w:val="22"/>
        </w:rPr>
        <w:t>states</w:t>
      </w:r>
      <w:r w:rsidR="00702883">
        <w:rPr>
          <w:rFonts w:ascii="Arial" w:hAnsi="Arial" w:cs="Arial"/>
          <w:sz w:val="22"/>
        </w:rPr>
        <w:t>:</w:t>
      </w:r>
      <w:r w:rsidR="001F4455">
        <w:rPr>
          <w:rFonts w:ascii="Arial" w:hAnsi="Arial" w:cs="Arial"/>
          <w:sz w:val="22"/>
        </w:rPr>
        <w:t xml:space="preserve"> </w:t>
      </w:r>
      <w:r w:rsidR="001F4455" w:rsidRPr="0039536F">
        <w:rPr>
          <w:rFonts w:ascii="Arial" w:hAnsi="Arial" w:cs="Arial"/>
          <w:i/>
          <w:sz w:val="22"/>
        </w:rPr>
        <w:t xml:space="preserve">“Routine circuit switching, when the employer can demonstrate that conditions at the site allow </w:t>
      </w:r>
      <w:r w:rsidR="00F20767" w:rsidRPr="0039536F">
        <w:rPr>
          <w:rFonts w:ascii="Arial" w:hAnsi="Arial" w:cs="Arial"/>
          <w:i/>
          <w:sz w:val="22"/>
        </w:rPr>
        <w:t>safe performance of this work”</w:t>
      </w:r>
      <w:r w:rsidR="0039536F">
        <w:rPr>
          <w:rFonts w:ascii="Arial" w:hAnsi="Arial" w:cs="Arial"/>
          <w:sz w:val="22"/>
        </w:rPr>
        <w:t>.  The Oregon unique verbiage expands upon the federal exceptions requirement</w:t>
      </w:r>
      <w:r w:rsidR="00F20767">
        <w:rPr>
          <w:rFonts w:ascii="Arial" w:hAnsi="Arial" w:cs="Arial"/>
          <w:sz w:val="22"/>
        </w:rPr>
        <w:t xml:space="preserve"> </w:t>
      </w:r>
      <w:r w:rsidR="00D935BD">
        <w:rPr>
          <w:rFonts w:ascii="Arial" w:hAnsi="Arial" w:cs="Arial"/>
          <w:sz w:val="22"/>
        </w:rPr>
        <w:t>and</w:t>
      </w:r>
      <w:r w:rsidR="00F20767">
        <w:rPr>
          <w:rFonts w:ascii="Arial" w:hAnsi="Arial" w:cs="Arial"/>
          <w:sz w:val="22"/>
        </w:rPr>
        <w:t xml:space="preserve"> detail</w:t>
      </w:r>
      <w:r w:rsidR="00D935BD">
        <w:rPr>
          <w:rFonts w:ascii="Arial" w:hAnsi="Arial" w:cs="Arial"/>
          <w:sz w:val="22"/>
        </w:rPr>
        <w:t>s</w:t>
      </w:r>
      <w:r w:rsidR="00F20767">
        <w:rPr>
          <w:rFonts w:ascii="Arial" w:hAnsi="Arial" w:cs="Arial"/>
          <w:sz w:val="22"/>
        </w:rPr>
        <w:t xml:space="preserve"> examples of specific actions the employer </w:t>
      </w:r>
      <w:r w:rsidR="00D935BD">
        <w:rPr>
          <w:rFonts w:ascii="Arial" w:hAnsi="Arial" w:cs="Arial"/>
          <w:sz w:val="22"/>
        </w:rPr>
        <w:t>needs to take</w:t>
      </w:r>
      <w:r w:rsidR="00863B84">
        <w:rPr>
          <w:rFonts w:ascii="Arial" w:hAnsi="Arial" w:cs="Arial"/>
          <w:sz w:val="22"/>
        </w:rPr>
        <w:t xml:space="preserve"> in order </w:t>
      </w:r>
      <w:r w:rsidR="00F20767">
        <w:rPr>
          <w:rFonts w:ascii="Arial" w:hAnsi="Arial" w:cs="Arial"/>
          <w:sz w:val="22"/>
        </w:rPr>
        <w:t>to establish this required demonstration, especia</w:t>
      </w:r>
      <w:r w:rsidR="002154C7">
        <w:rPr>
          <w:rFonts w:ascii="Arial" w:hAnsi="Arial" w:cs="Arial"/>
          <w:sz w:val="22"/>
        </w:rPr>
        <w:t xml:space="preserve">lly concerning </w:t>
      </w:r>
      <w:r w:rsidR="00863B84">
        <w:rPr>
          <w:rFonts w:ascii="Arial" w:hAnsi="Arial" w:cs="Arial"/>
          <w:sz w:val="22"/>
        </w:rPr>
        <w:t xml:space="preserve">the </w:t>
      </w:r>
      <w:r w:rsidR="002154C7">
        <w:rPr>
          <w:rFonts w:ascii="Arial" w:hAnsi="Arial" w:cs="Arial"/>
          <w:sz w:val="22"/>
        </w:rPr>
        <w:t>use of load break</w:t>
      </w:r>
      <w:r w:rsidR="00F20767">
        <w:rPr>
          <w:rFonts w:ascii="Arial" w:hAnsi="Arial" w:cs="Arial"/>
          <w:sz w:val="22"/>
        </w:rPr>
        <w:t xml:space="preserve"> elbow</w:t>
      </w:r>
      <w:r w:rsidR="0039536F">
        <w:rPr>
          <w:rFonts w:ascii="Arial" w:hAnsi="Arial" w:cs="Arial"/>
          <w:sz w:val="22"/>
        </w:rPr>
        <w:t>s, addressed in</w:t>
      </w:r>
      <w:r w:rsidR="00F20767">
        <w:rPr>
          <w:rFonts w:ascii="Arial" w:hAnsi="Arial" w:cs="Arial"/>
          <w:sz w:val="22"/>
        </w:rPr>
        <w:t xml:space="preserve"> 437-002-2311</w:t>
      </w:r>
      <w:r w:rsidR="002154C7">
        <w:rPr>
          <w:rFonts w:ascii="Arial" w:hAnsi="Arial" w:cs="Arial"/>
          <w:sz w:val="22"/>
        </w:rPr>
        <w:t>(2)(b)(E)(i) through</w:t>
      </w:r>
      <w:r w:rsidR="00F20767">
        <w:rPr>
          <w:rFonts w:ascii="Arial" w:hAnsi="Arial" w:cs="Arial"/>
          <w:sz w:val="22"/>
        </w:rPr>
        <w:t xml:space="preserve"> (ii).</w:t>
      </w:r>
    </w:p>
    <w:p w:rsidR="00F20767" w:rsidRDefault="00F20767" w:rsidP="00B63246">
      <w:pPr>
        <w:rPr>
          <w:rFonts w:ascii="Arial" w:hAnsi="Arial" w:cs="Arial"/>
          <w:sz w:val="22"/>
        </w:rPr>
      </w:pPr>
    </w:p>
    <w:p w:rsidR="00A8762E" w:rsidRDefault="00F20767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Note for further clarification:  Questions arose after the comment period </w:t>
      </w:r>
      <w:r w:rsidR="002154C7">
        <w:rPr>
          <w:rFonts w:ascii="Arial" w:hAnsi="Arial" w:cs="Arial"/>
          <w:sz w:val="22"/>
        </w:rPr>
        <w:t>ended r</w:t>
      </w:r>
      <w:r w:rsidR="00ED2BFB">
        <w:rPr>
          <w:rFonts w:ascii="Arial" w:hAnsi="Arial" w:cs="Arial"/>
          <w:sz w:val="22"/>
        </w:rPr>
        <w:t>egarding whether 437-002-2311</w:t>
      </w:r>
      <w:r w:rsidR="002154C7">
        <w:rPr>
          <w:rFonts w:ascii="Arial" w:hAnsi="Arial" w:cs="Arial"/>
          <w:sz w:val="22"/>
        </w:rPr>
        <w:t>(2)</w:t>
      </w:r>
      <w:r w:rsidR="00ED2BFB">
        <w:rPr>
          <w:rFonts w:ascii="Arial" w:hAnsi="Arial" w:cs="Arial"/>
          <w:sz w:val="22"/>
        </w:rPr>
        <w:t>(b)</w:t>
      </w:r>
      <w:r>
        <w:rPr>
          <w:rFonts w:ascii="Arial" w:hAnsi="Arial" w:cs="Arial"/>
          <w:sz w:val="22"/>
        </w:rPr>
        <w:t>(G) supersedes or nullifies 437-002-2311</w:t>
      </w:r>
      <w:r w:rsidR="002154C7">
        <w:rPr>
          <w:rFonts w:ascii="Arial" w:hAnsi="Arial" w:cs="Arial"/>
          <w:sz w:val="22"/>
        </w:rPr>
        <w:t>(2)</w:t>
      </w:r>
      <w:r w:rsidR="00ED2BFB">
        <w:rPr>
          <w:rFonts w:ascii="Arial" w:hAnsi="Arial" w:cs="Arial"/>
          <w:sz w:val="22"/>
        </w:rPr>
        <w:t>(b)</w:t>
      </w:r>
      <w:r w:rsidR="00B11D1A">
        <w:rPr>
          <w:rFonts w:ascii="Arial" w:hAnsi="Arial" w:cs="Arial"/>
          <w:sz w:val="22"/>
        </w:rPr>
        <w:t>(</w:t>
      </w:r>
      <w:r w:rsidR="00B11D1A" w:rsidRPr="008530FE">
        <w:rPr>
          <w:rFonts w:ascii="Arial" w:hAnsi="Arial" w:cs="Arial"/>
          <w:sz w:val="22"/>
        </w:rPr>
        <w:t>E</w:t>
      </w:r>
      <w:r w:rsidRPr="008530FE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  <w:r w:rsidR="002279DE">
        <w:rPr>
          <w:rFonts w:ascii="Arial" w:hAnsi="Arial" w:cs="Arial"/>
          <w:sz w:val="22"/>
        </w:rPr>
        <w:t xml:space="preserve"> It does not. </w:t>
      </w:r>
      <w:r w:rsidR="008B1DB0">
        <w:rPr>
          <w:rFonts w:ascii="Arial" w:hAnsi="Arial" w:cs="Arial"/>
          <w:sz w:val="22"/>
        </w:rPr>
        <w:t xml:space="preserve">OAR </w:t>
      </w:r>
      <w:r w:rsidR="002279DE" w:rsidRPr="008530FE">
        <w:rPr>
          <w:rFonts w:ascii="Arial" w:hAnsi="Arial" w:cs="Arial"/>
          <w:sz w:val="22"/>
        </w:rPr>
        <w:t>437-002-2311</w:t>
      </w:r>
      <w:r w:rsidR="002154C7" w:rsidRPr="008530FE">
        <w:rPr>
          <w:rFonts w:ascii="Arial" w:hAnsi="Arial" w:cs="Arial"/>
          <w:sz w:val="22"/>
        </w:rPr>
        <w:t>(2)(b)</w:t>
      </w:r>
      <w:r w:rsidR="00E140F1" w:rsidRPr="008530FE">
        <w:rPr>
          <w:rFonts w:ascii="Arial" w:hAnsi="Arial" w:cs="Arial"/>
          <w:sz w:val="22"/>
        </w:rPr>
        <w:t>(E)</w:t>
      </w:r>
      <w:r w:rsidR="002279DE">
        <w:rPr>
          <w:rFonts w:ascii="Arial" w:hAnsi="Arial" w:cs="Arial"/>
          <w:sz w:val="22"/>
        </w:rPr>
        <w:t xml:space="preserve"> was written specifically to address the load break elbow issue.</w:t>
      </w:r>
    </w:p>
    <w:p w:rsidR="006E56EE" w:rsidRDefault="006E56EE" w:rsidP="00B63246">
      <w:pPr>
        <w:rPr>
          <w:rFonts w:ascii="Arial" w:hAnsi="Arial" w:cs="Arial"/>
          <w:sz w:val="22"/>
        </w:rPr>
      </w:pPr>
    </w:p>
    <w:p w:rsidR="006E56EE" w:rsidRDefault="00E40834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One commenter</w:t>
      </w:r>
      <w:r w:rsidRPr="002739B7">
        <w:rPr>
          <w:rFonts w:ascii="Arial" w:hAnsi="Arial" w:cs="Arial"/>
          <w:sz w:val="16"/>
          <w:szCs w:val="16"/>
          <w:vertAlign w:val="superscript"/>
        </w:rPr>
        <w:t>2</w:t>
      </w:r>
      <w:r w:rsidR="00ED2BFB">
        <w:rPr>
          <w:rFonts w:ascii="Arial" w:hAnsi="Arial" w:cs="Arial"/>
          <w:sz w:val="16"/>
          <w:szCs w:val="16"/>
          <w:vertAlign w:val="superscript"/>
        </w:rPr>
        <w:t xml:space="preserve">  </w:t>
      </w:r>
      <w:r>
        <w:rPr>
          <w:rFonts w:ascii="Arial" w:hAnsi="Arial" w:cs="Arial"/>
          <w:sz w:val="22"/>
        </w:rPr>
        <w:t>was positive regarding the</w:t>
      </w:r>
      <w:r w:rsidR="009C4D5E">
        <w:rPr>
          <w:rFonts w:ascii="Arial" w:hAnsi="Arial" w:cs="Arial"/>
          <w:sz w:val="22"/>
        </w:rPr>
        <w:t xml:space="preserve"> Oregon unique</w:t>
      </w:r>
      <w:r>
        <w:rPr>
          <w:rFonts w:ascii="Arial" w:hAnsi="Arial" w:cs="Arial"/>
          <w:sz w:val="22"/>
        </w:rPr>
        <w:t xml:space="preserve"> two worker exception language.</w:t>
      </w:r>
    </w:p>
    <w:p w:rsidR="00A8762E" w:rsidRDefault="00A8762E" w:rsidP="00B63246">
      <w:pPr>
        <w:rPr>
          <w:rFonts w:ascii="Arial" w:hAnsi="Arial" w:cs="Arial"/>
          <w:sz w:val="22"/>
        </w:rPr>
      </w:pPr>
    </w:p>
    <w:p w:rsidR="00835AF5" w:rsidRDefault="00835AF5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One commenter</w:t>
      </w:r>
      <w:r w:rsidR="00702883">
        <w:rPr>
          <w:rFonts w:ascii="Arial" w:hAnsi="Arial" w:cs="Arial"/>
          <w:sz w:val="16"/>
          <w:szCs w:val="16"/>
          <w:vertAlign w:val="superscript"/>
        </w:rPr>
        <w:t>3</w:t>
      </w:r>
      <w:r w:rsidR="00725B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requested clarification as to whether the term “authorized” used in 437-002-2311</w:t>
      </w:r>
      <w:r w:rsidR="00ED2BFB">
        <w:rPr>
          <w:rFonts w:ascii="Arial" w:hAnsi="Arial" w:cs="Arial"/>
          <w:sz w:val="22"/>
        </w:rPr>
        <w:t>(2)</w:t>
      </w:r>
      <w:r>
        <w:rPr>
          <w:rFonts w:ascii="Arial" w:hAnsi="Arial" w:cs="Arial"/>
          <w:sz w:val="22"/>
        </w:rPr>
        <w:t>(</w:t>
      </w:r>
      <w:r w:rsidR="00AD3E82">
        <w:rPr>
          <w:rFonts w:ascii="Arial" w:hAnsi="Arial" w:cs="Arial"/>
          <w:sz w:val="22"/>
        </w:rPr>
        <w:t>b)(E)(i) refers to a “lockout</w:t>
      </w:r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tagout</w:t>
      </w:r>
      <w:proofErr w:type="spellEnd"/>
      <w:r>
        <w:rPr>
          <w:rFonts w:ascii="Arial" w:hAnsi="Arial" w:cs="Arial"/>
          <w:sz w:val="22"/>
        </w:rPr>
        <w:t xml:space="preserve"> authorized employee”.</w:t>
      </w:r>
    </w:p>
    <w:p w:rsidR="00835AF5" w:rsidRDefault="00835AF5" w:rsidP="00B63246">
      <w:pPr>
        <w:rPr>
          <w:rFonts w:ascii="Arial" w:hAnsi="Arial" w:cs="Arial"/>
          <w:sz w:val="22"/>
        </w:rPr>
      </w:pPr>
    </w:p>
    <w:p w:rsidR="00A8762E" w:rsidRPr="00A8762E" w:rsidRDefault="00A8762E" w:rsidP="00B63246">
      <w:pPr>
        <w:rPr>
          <w:rFonts w:ascii="Arial" w:hAnsi="Arial" w:cs="Arial"/>
          <w:i/>
          <w:sz w:val="22"/>
        </w:rPr>
      </w:pPr>
      <w:r w:rsidRPr="008530FE">
        <w:rPr>
          <w:rFonts w:ascii="Arial" w:hAnsi="Arial" w:cs="Arial"/>
          <w:sz w:val="22"/>
        </w:rPr>
        <w:t xml:space="preserve">It does not. In Oregon OSHA’s view, the term “authorized” as used in this paragraph means </w:t>
      </w:r>
      <w:r w:rsidRPr="008530FE">
        <w:rPr>
          <w:rFonts w:ascii="Arial" w:hAnsi="Arial" w:cs="Arial"/>
          <w:i/>
          <w:sz w:val="22"/>
        </w:rPr>
        <w:t>“One qualified to perform the work and designated by the employer to do so.”</w:t>
      </w:r>
    </w:p>
    <w:p w:rsidR="00E40834" w:rsidRPr="002739B7" w:rsidRDefault="00E40834" w:rsidP="00B63246">
      <w:pPr>
        <w:rPr>
          <w:rFonts w:ascii="Arial" w:hAnsi="Arial" w:cs="Arial"/>
          <w:i/>
          <w:sz w:val="22"/>
        </w:rPr>
      </w:pPr>
    </w:p>
    <w:p w:rsidR="00E40834" w:rsidRDefault="00115EF9" w:rsidP="00B6324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="00E40834">
        <w:rPr>
          <w:rFonts w:ascii="Arial" w:hAnsi="Arial" w:cs="Arial"/>
          <w:b/>
          <w:sz w:val="22"/>
        </w:rPr>
        <w:t>37-002-2311(13)</w:t>
      </w:r>
    </w:p>
    <w:p w:rsidR="009C4D5E" w:rsidRDefault="00CF2CF4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were six</w:t>
      </w:r>
      <w:r w:rsidR="00E40834">
        <w:rPr>
          <w:rFonts w:ascii="Arial" w:hAnsi="Arial" w:cs="Arial"/>
          <w:sz w:val="22"/>
        </w:rPr>
        <w:t xml:space="preserve"> comments</w:t>
      </w:r>
      <w:r w:rsidR="00702883">
        <w:rPr>
          <w:rFonts w:ascii="Arial" w:hAnsi="Arial" w:cs="Arial"/>
          <w:sz w:val="16"/>
          <w:szCs w:val="16"/>
          <w:vertAlign w:val="superscript"/>
        </w:rPr>
        <w:t>4</w:t>
      </w:r>
      <w:r w:rsidR="00ED2BFB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E40834">
        <w:rPr>
          <w:rFonts w:ascii="Arial" w:hAnsi="Arial" w:cs="Arial"/>
          <w:sz w:val="22"/>
        </w:rPr>
        <w:t xml:space="preserve">related to the inadvertent omission of </w:t>
      </w:r>
      <w:r w:rsidR="009C4D5E">
        <w:rPr>
          <w:rFonts w:ascii="Arial" w:hAnsi="Arial" w:cs="Arial"/>
          <w:sz w:val="22"/>
        </w:rPr>
        <w:t>the Oregon unique</w:t>
      </w:r>
      <w:r w:rsidR="00E40834">
        <w:rPr>
          <w:rFonts w:ascii="Arial" w:hAnsi="Arial" w:cs="Arial"/>
          <w:sz w:val="22"/>
        </w:rPr>
        <w:t xml:space="preserve"> “Safety watch” rule</w:t>
      </w:r>
      <w:r w:rsidR="009C4D5E">
        <w:rPr>
          <w:rFonts w:ascii="Arial" w:hAnsi="Arial" w:cs="Arial"/>
          <w:sz w:val="22"/>
        </w:rPr>
        <w:t>.</w:t>
      </w:r>
    </w:p>
    <w:p w:rsidR="009C4D5E" w:rsidRDefault="009C4D5E" w:rsidP="00B63246">
      <w:pPr>
        <w:rPr>
          <w:rFonts w:ascii="Arial" w:hAnsi="Arial" w:cs="Arial"/>
          <w:sz w:val="22"/>
        </w:rPr>
      </w:pPr>
    </w:p>
    <w:p w:rsidR="00E36570" w:rsidRDefault="009C4D5E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Agency recognized the omission and added </w:t>
      </w:r>
      <w:r w:rsidR="00CF1DFC">
        <w:rPr>
          <w:rFonts w:ascii="Arial" w:hAnsi="Arial" w:cs="Arial"/>
          <w:sz w:val="22"/>
        </w:rPr>
        <w:t xml:space="preserve">revised </w:t>
      </w:r>
      <w:r>
        <w:rPr>
          <w:rFonts w:ascii="Arial" w:hAnsi="Arial" w:cs="Arial"/>
          <w:sz w:val="22"/>
        </w:rPr>
        <w:t>Oregon unique safety watch language to the rule under 437-002-2311(13).</w:t>
      </w:r>
    </w:p>
    <w:p w:rsidR="00397DD7" w:rsidRDefault="00397DD7" w:rsidP="00B63246">
      <w:pPr>
        <w:rPr>
          <w:rFonts w:ascii="Arial" w:hAnsi="Arial" w:cs="Arial"/>
          <w:sz w:val="22"/>
        </w:rPr>
      </w:pPr>
    </w:p>
    <w:p w:rsidR="00397DD7" w:rsidRDefault="00397DD7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were three comments</w:t>
      </w:r>
      <w:r w:rsidR="00702883">
        <w:rPr>
          <w:rFonts w:ascii="Arial" w:hAnsi="Arial" w:cs="Arial"/>
          <w:sz w:val="16"/>
          <w:szCs w:val="16"/>
          <w:vertAlign w:val="superscript"/>
        </w:rPr>
        <w:t>5</w:t>
      </w:r>
      <w:r w:rsidR="00D3179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D3179D">
        <w:rPr>
          <w:rFonts w:ascii="Arial" w:hAnsi="Arial" w:cs="Arial"/>
          <w:sz w:val="22"/>
          <w:vertAlign w:val="superscript"/>
        </w:rPr>
        <w:t xml:space="preserve"> </w:t>
      </w:r>
      <w:r w:rsidR="00D3179D">
        <w:rPr>
          <w:rFonts w:ascii="Arial" w:hAnsi="Arial" w:cs="Arial"/>
          <w:sz w:val="22"/>
        </w:rPr>
        <w:t xml:space="preserve">regarding the qualifications of a safety watch:  </w:t>
      </w:r>
      <w:r w:rsidR="007753E1">
        <w:rPr>
          <w:rFonts w:ascii="Arial" w:hAnsi="Arial" w:cs="Arial"/>
          <w:sz w:val="22"/>
        </w:rPr>
        <w:t xml:space="preserve">first, </w:t>
      </w:r>
      <w:r w:rsidR="00D3179D">
        <w:rPr>
          <w:rFonts w:ascii="Arial" w:hAnsi="Arial" w:cs="Arial"/>
          <w:sz w:val="22"/>
        </w:rPr>
        <w:t xml:space="preserve">that a safety watch should be </w:t>
      </w:r>
      <w:r w:rsidR="007753E1">
        <w:rPr>
          <w:rFonts w:ascii="Arial" w:hAnsi="Arial" w:cs="Arial"/>
          <w:sz w:val="22"/>
        </w:rPr>
        <w:t>“a lineman” or a “hot apprentice”; a</w:t>
      </w:r>
      <w:r w:rsidR="00725B18">
        <w:rPr>
          <w:rFonts w:ascii="Arial" w:hAnsi="Arial" w:cs="Arial"/>
          <w:sz w:val="22"/>
        </w:rPr>
        <w:t>nd two, that a safety watch should</w:t>
      </w:r>
      <w:r w:rsidR="007753E1">
        <w:rPr>
          <w:rFonts w:ascii="Arial" w:hAnsi="Arial" w:cs="Arial"/>
          <w:sz w:val="22"/>
        </w:rPr>
        <w:t xml:space="preserve"> be capable of providing pole-top rescue.</w:t>
      </w:r>
    </w:p>
    <w:p w:rsidR="007753E1" w:rsidRDefault="007753E1" w:rsidP="00B63246">
      <w:pPr>
        <w:rPr>
          <w:rFonts w:ascii="Arial" w:hAnsi="Arial" w:cs="Arial"/>
          <w:sz w:val="22"/>
        </w:rPr>
      </w:pPr>
    </w:p>
    <w:p w:rsidR="007753E1" w:rsidRDefault="007753E1" w:rsidP="00725B18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2"/>
        </w:rPr>
      </w:pPr>
      <w:r w:rsidRPr="00725B18">
        <w:rPr>
          <w:rFonts w:ascii="Arial" w:hAnsi="Arial" w:cs="Arial"/>
          <w:sz w:val="22"/>
        </w:rPr>
        <w:t xml:space="preserve">437-002-2311(13) requires that a safety watch be “qualified”.  </w:t>
      </w:r>
      <w:r w:rsidR="0008390A" w:rsidRPr="008530FE">
        <w:rPr>
          <w:rFonts w:ascii="Arial" w:hAnsi="Arial" w:cs="Arial"/>
          <w:sz w:val="22"/>
        </w:rPr>
        <w:t>The term “q</w:t>
      </w:r>
      <w:r w:rsidRPr="008530FE">
        <w:rPr>
          <w:rFonts w:ascii="Arial" w:hAnsi="Arial" w:cs="Arial"/>
          <w:sz w:val="22"/>
        </w:rPr>
        <w:t>ualified</w:t>
      </w:r>
      <w:r w:rsidR="0008390A" w:rsidRPr="008530FE">
        <w:rPr>
          <w:rFonts w:ascii="Arial" w:hAnsi="Arial" w:cs="Arial"/>
          <w:sz w:val="22"/>
        </w:rPr>
        <w:t>”</w:t>
      </w:r>
      <w:r w:rsidRPr="008530FE">
        <w:rPr>
          <w:rFonts w:ascii="Arial" w:hAnsi="Arial" w:cs="Arial"/>
          <w:sz w:val="22"/>
        </w:rPr>
        <w:t xml:space="preserve"> is defined</w:t>
      </w:r>
      <w:r w:rsidR="00B70929" w:rsidRPr="008530FE">
        <w:rPr>
          <w:rFonts w:ascii="Arial" w:hAnsi="Arial" w:cs="Arial"/>
          <w:sz w:val="22"/>
        </w:rPr>
        <w:t xml:space="preserve"> in 437-002-2324</w:t>
      </w:r>
      <w:r w:rsidRPr="008530FE">
        <w:rPr>
          <w:rFonts w:ascii="Arial" w:hAnsi="Arial" w:cs="Arial"/>
          <w:sz w:val="22"/>
        </w:rPr>
        <w:t xml:space="preserve"> as </w:t>
      </w:r>
      <w:r w:rsidRPr="008530FE">
        <w:rPr>
          <w:rFonts w:ascii="Arial" w:hAnsi="Arial" w:cs="Arial"/>
          <w:i/>
          <w:sz w:val="22"/>
        </w:rPr>
        <w:t>“an employee</w:t>
      </w:r>
      <w:r w:rsidR="00B70929" w:rsidRPr="008530FE">
        <w:rPr>
          <w:rFonts w:ascii="Arial" w:hAnsi="Arial" w:cs="Arial"/>
          <w:i/>
          <w:sz w:val="22"/>
        </w:rPr>
        <w:t xml:space="preserve"> (person)</w:t>
      </w:r>
      <w:r w:rsidRPr="008530FE">
        <w:rPr>
          <w:rFonts w:ascii="Arial" w:hAnsi="Arial" w:cs="Arial"/>
          <w:i/>
          <w:sz w:val="22"/>
        </w:rPr>
        <w:t xml:space="preserve"> knowledgeable in the construction and operation of the electrical power generation, transmission and distribution equipment involved, along with the associated hazards.”  </w:t>
      </w:r>
      <w:r w:rsidRPr="008530FE">
        <w:rPr>
          <w:rFonts w:ascii="Arial" w:hAnsi="Arial" w:cs="Arial"/>
          <w:sz w:val="22"/>
        </w:rPr>
        <w:t>And</w:t>
      </w:r>
      <w:r w:rsidR="00B70929" w:rsidRPr="008530FE">
        <w:rPr>
          <w:rFonts w:ascii="Arial" w:hAnsi="Arial" w:cs="Arial"/>
          <w:sz w:val="22"/>
        </w:rPr>
        <w:t xml:space="preserve"> </w:t>
      </w:r>
      <w:r w:rsidR="004974E6" w:rsidRPr="008530FE">
        <w:rPr>
          <w:rFonts w:ascii="Arial" w:hAnsi="Arial" w:cs="Arial"/>
          <w:sz w:val="22"/>
        </w:rPr>
        <w:t>“Note to P</w:t>
      </w:r>
      <w:r w:rsidR="00B70929" w:rsidRPr="008530FE">
        <w:rPr>
          <w:rFonts w:ascii="Arial" w:hAnsi="Arial" w:cs="Arial"/>
          <w:sz w:val="22"/>
        </w:rPr>
        <w:t>aragraph (2)(b)</w:t>
      </w:r>
      <w:r w:rsidR="004974E6" w:rsidRPr="008530FE">
        <w:rPr>
          <w:rFonts w:ascii="Arial" w:hAnsi="Arial" w:cs="Arial"/>
          <w:sz w:val="22"/>
        </w:rPr>
        <w:t>”</w:t>
      </w:r>
      <w:r w:rsidR="004974E6">
        <w:rPr>
          <w:rFonts w:ascii="Arial" w:hAnsi="Arial" w:cs="Arial"/>
          <w:sz w:val="22"/>
        </w:rPr>
        <w:t xml:space="preserve"> in 437-002-2300(2) states: </w:t>
      </w:r>
      <w:r w:rsidR="00B70929">
        <w:rPr>
          <w:rFonts w:ascii="Arial" w:hAnsi="Arial" w:cs="Arial"/>
          <w:i/>
          <w:sz w:val="22"/>
        </w:rPr>
        <w:t xml:space="preserve"> “a person</w:t>
      </w:r>
      <w:r w:rsidRPr="00725B18">
        <w:rPr>
          <w:rFonts w:ascii="Arial" w:hAnsi="Arial" w:cs="Arial"/>
          <w:i/>
          <w:sz w:val="22"/>
        </w:rPr>
        <w:t xml:space="preserve"> must have the t</w:t>
      </w:r>
      <w:r w:rsidR="00E00BDC">
        <w:rPr>
          <w:rFonts w:ascii="Arial" w:hAnsi="Arial" w:cs="Arial"/>
          <w:i/>
          <w:sz w:val="22"/>
        </w:rPr>
        <w:t xml:space="preserve">raining required by (2)(b) </w:t>
      </w:r>
      <w:r w:rsidRPr="00725B18">
        <w:rPr>
          <w:rFonts w:ascii="Arial" w:hAnsi="Arial" w:cs="Arial"/>
          <w:i/>
          <w:sz w:val="22"/>
        </w:rPr>
        <w:t>to be considered a qualified employee.”</w:t>
      </w:r>
    </w:p>
    <w:p w:rsidR="000222ED" w:rsidRDefault="000222ED" w:rsidP="00725B18">
      <w:pPr>
        <w:ind w:left="720"/>
        <w:rPr>
          <w:rFonts w:ascii="Arial" w:hAnsi="Arial" w:cs="Arial"/>
          <w:sz w:val="22"/>
        </w:rPr>
      </w:pPr>
    </w:p>
    <w:p w:rsidR="007753E1" w:rsidRDefault="000222ED" w:rsidP="00725B18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7753E1">
        <w:rPr>
          <w:rFonts w:ascii="Arial" w:hAnsi="Arial" w:cs="Arial"/>
          <w:sz w:val="22"/>
        </w:rPr>
        <w:t>he Agency co</w:t>
      </w:r>
      <w:r w:rsidR="00725B18">
        <w:rPr>
          <w:rFonts w:ascii="Arial" w:hAnsi="Arial" w:cs="Arial"/>
          <w:sz w:val="22"/>
        </w:rPr>
        <w:t>nsiders this definition</w:t>
      </w:r>
      <w:r w:rsidR="00863B84">
        <w:rPr>
          <w:rFonts w:ascii="Arial" w:hAnsi="Arial" w:cs="Arial"/>
          <w:sz w:val="22"/>
        </w:rPr>
        <w:t xml:space="preserve"> to be </w:t>
      </w:r>
      <w:r w:rsidR="00725B18">
        <w:rPr>
          <w:rFonts w:ascii="Arial" w:hAnsi="Arial" w:cs="Arial"/>
          <w:sz w:val="22"/>
        </w:rPr>
        <w:t>sufficient</w:t>
      </w:r>
      <w:r w:rsidR="007753E1">
        <w:rPr>
          <w:rFonts w:ascii="Arial" w:hAnsi="Arial" w:cs="Arial"/>
          <w:sz w:val="22"/>
        </w:rPr>
        <w:t xml:space="preserve"> guidance for an employer to determine the qualifications for a </w:t>
      </w:r>
      <w:r w:rsidR="00725B18">
        <w:rPr>
          <w:rFonts w:ascii="Arial" w:hAnsi="Arial" w:cs="Arial"/>
          <w:sz w:val="22"/>
        </w:rPr>
        <w:t xml:space="preserve">qualified person assigned to function as a </w:t>
      </w:r>
      <w:r w:rsidR="007753E1">
        <w:rPr>
          <w:rFonts w:ascii="Arial" w:hAnsi="Arial" w:cs="Arial"/>
          <w:sz w:val="22"/>
        </w:rPr>
        <w:t>safety watch.</w:t>
      </w:r>
    </w:p>
    <w:p w:rsidR="007753E1" w:rsidRDefault="007753E1" w:rsidP="00B63246">
      <w:pPr>
        <w:rPr>
          <w:rFonts w:ascii="Arial" w:hAnsi="Arial" w:cs="Arial"/>
          <w:sz w:val="22"/>
        </w:rPr>
      </w:pPr>
    </w:p>
    <w:p w:rsidR="007753E1" w:rsidRPr="00725B18" w:rsidRDefault="00725B18" w:rsidP="00725B18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25B18">
        <w:rPr>
          <w:rFonts w:ascii="Arial" w:hAnsi="Arial" w:cs="Arial"/>
          <w:sz w:val="22"/>
        </w:rPr>
        <w:t>The rules state</w:t>
      </w:r>
      <w:r w:rsidR="00B851F2" w:rsidRPr="00725B18">
        <w:rPr>
          <w:rFonts w:ascii="Arial" w:hAnsi="Arial" w:cs="Arial"/>
          <w:sz w:val="22"/>
        </w:rPr>
        <w:t xml:space="preserve"> that a safety watch can have no other duties that would interfere with or distract from the safety watch duties. </w:t>
      </w:r>
      <w:r w:rsidR="007753E1" w:rsidRPr="00725B18">
        <w:rPr>
          <w:rFonts w:ascii="Arial" w:hAnsi="Arial" w:cs="Arial"/>
          <w:sz w:val="22"/>
        </w:rPr>
        <w:t xml:space="preserve">The Agency determined that it would not be appropriate for a designated safety watch to become </w:t>
      </w:r>
      <w:r w:rsidR="00B851F2" w:rsidRPr="00725B18">
        <w:rPr>
          <w:rFonts w:ascii="Arial" w:hAnsi="Arial" w:cs="Arial"/>
          <w:sz w:val="22"/>
        </w:rPr>
        <w:t xml:space="preserve">physically </w:t>
      </w:r>
      <w:r w:rsidR="007753E1" w:rsidRPr="00725B18">
        <w:rPr>
          <w:rFonts w:ascii="Arial" w:hAnsi="Arial" w:cs="Arial"/>
          <w:sz w:val="22"/>
        </w:rPr>
        <w:t>involved in a rescue operation unless an</w:t>
      </w:r>
      <w:r w:rsidR="00AD6108">
        <w:rPr>
          <w:rFonts w:ascii="Arial" w:hAnsi="Arial" w:cs="Arial"/>
          <w:sz w:val="22"/>
        </w:rPr>
        <w:t>other qualified person takes</w:t>
      </w:r>
      <w:r w:rsidR="00B851F2" w:rsidRPr="00725B18">
        <w:rPr>
          <w:rFonts w:ascii="Arial" w:hAnsi="Arial" w:cs="Arial"/>
          <w:sz w:val="22"/>
        </w:rPr>
        <w:t xml:space="preserve"> the place of the original safety watch.  Rescue is not a function of a safety watch.</w:t>
      </w:r>
    </w:p>
    <w:p w:rsidR="00E36570" w:rsidRDefault="00E36570" w:rsidP="00B63246">
      <w:pPr>
        <w:rPr>
          <w:rFonts w:ascii="Arial" w:hAnsi="Arial" w:cs="Arial"/>
          <w:sz w:val="22"/>
        </w:rPr>
      </w:pPr>
    </w:p>
    <w:p w:rsidR="00E40834" w:rsidRDefault="00E36570" w:rsidP="00B63246">
      <w:pPr>
        <w:rPr>
          <w:rFonts w:ascii="Arial" w:hAnsi="Arial" w:cs="Arial"/>
          <w:b/>
          <w:sz w:val="22"/>
        </w:rPr>
      </w:pPr>
      <w:r w:rsidRPr="00E36570">
        <w:rPr>
          <w:rFonts w:ascii="Arial" w:hAnsi="Arial" w:cs="Arial"/>
          <w:b/>
          <w:sz w:val="22"/>
        </w:rPr>
        <w:t>437-002-2323</w:t>
      </w:r>
    </w:p>
    <w:p w:rsidR="00E36570" w:rsidRDefault="00E36570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Two commenters</w:t>
      </w:r>
      <w:r w:rsidR="00702883">
        <w:rPr>
          <w:rFonts w:ascii="Arial" w:hAnsi="Arial" w:cs="Arial"/>
          <w:sz w:val="16"/>
          <w:szCs w:val="16"/>
          <w:vertAlign w:val="superscript"/>
        </w:rPr>
        <w:t>6</w:t>
      </w:r>
      <w:r w:rsidR="00ED2BFB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254B6A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22"/>
        </w:rPr>
        <w:t xml:space="preserve">provided seventeen comments regarding the Oregon unique helicopter rules. Commentary focused on specific issues of Federal Aviation Administration jurisdiction and </w:t>
      </w:r>
      <w:r w:rsidR="00254B6A">
        <w:rPr>
          <w:rFonts w:ascii="Arial" w:hAnsi="Arial" w:cs="Arial"/>
          <w:sz w:val="22"/>
        </w:rPr>
        <w:t xml:space="preserve">authority, as well as </w:t>
      </w:r>
      <w:r>
        <w:rPr>
          <w:rFonts w:ascii="Arial" w:hAnsi="Arial" w:cs="Arial"/>
          <w:sz w:val="22"/>
        </w:rPr>
        <w:t xml:space="preserve">accepted </w:t>
      </w:r>
      <w:r w:rsidR="00863B84">
        <w:rPr>
          <w:rFonts w:ascii="Arial" w:hAnsi="Arial" w:cs="Arial"/>
          <w:sz w:val="22"/>
        </w:rPr>
        <w:t xml:space="preserve">standard </w:t>
      </w:r>
      <w:r>
        <w:rPr>
          <w:rFonts w:ascii="Arial" w:hAnsi="Arial" w:cs="Arial"/>
          <w:sz w:val="22"/>
        </w:rPr>
        <w:t>industry practices, which were not necessary in the Oregon rule text or were not accurate.</w:t>
      </w:r>
    </w:p>
    <w:p w:rsidR="00E36570" w:rsidRDefault="00E36570" w:rsidP="00B63246">
      <w:pPr>
        <w:rPr>
          <w:rFonts w:ascii="Arial" w:hAnsi="Arial" w:cs="Arial"/>
          <w:sz w:val="22"/>
        </w:rPr>
      </w:pPr>
    </w:p>
    <w:p w:rsidR="00927B2F" w:rsidRDefault="00E36570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Upon evaluation of the</w:t>
      </w:r>
      <w:r w:rsidR="002154C7">
        <w:rPr>
          <w:rFonts w:ascii="Arial" w:hAnsi="Arial" w:cs="Arial"/>
          <w:sz w:val="22"/>
        </w:rPr>
        <w:t>se</w:t>
      </w:r>
      <w:r>
        <w:rPr>
          <w:rFonts w:ascii="Arial" w:hAnsi="Arial" w:cs="Arial"/>
          <w:sz w:val="22"/>
        </w:rPr>
        <w:t xml:space="preserve"> recommendatio</w:t>
      </w:r>
      <w:r w:rsidR="002154C7">
        <w:rPr>
          <w:rFonts w:ascii="Arial" w:hAnsi="Arial" w:cs="Arial"/>
          <w:sz w:val="22"/>
        </w:rPr>
        <w:t>ns, the Agency decided to remove or correct specific items originally proposed</w:t>
      </w:r>
      <w:r w:rsidR="00AD6108">
        <w:rPr>
          <w:rFonts w:ascii="Arial" w:hAnsi="Arial" w:cs="Arial"/>
          <w:sz w:val="22"/>
        </w:rPr>
        <w:t>,</w:t>
      </w:r>
      <w:r w:rsidR="002154C7">
        <w:rPr>
          <w:rFonts w:ascii="Arial" w:hAnsi="Arial" w:cs="Arial"/>
          <w:sz w:val="22"/>
        </w:rPr>
        <w:t xml:space="preserve"> </w:t>
      </w:r>
      <w:r w:rsidR="00736628">
        <w:rPr>
          <w:rFonts w:ascii="Arial" w:hAnsi="Arial" w:cs="Arial"/>
          <w:sz w:val="22"/>
        </w:rPr>
        <w:t>and based upon this commentary,</w:t>
      </w:r>
      <w:r w:rsidR="002154C7">
        <w:rPr>
          <w:rFonts w:ascii="Arial" w:hAnsi="Arial" w:cs="Arial"/>
          <w:sz w:val="22"/>
        </w:rPr>
        <w:t xml:space="preserve"> incorpora</w:t>
      </w:r>
      <w:r w:rsidR="00AD3E82">
        <w:rPr>
          <w:rFonts w:ascii="Arial" w:hAnsi="Arial" w:cs="Arial"/>
          <w:sz w:val="22"/>
        </w:rPr>
        <w:t>ted</w:t>
      </w:r>
      <w:r w:rsidR="002154C7">
        <w:rPr>
          <w:rFonts w:ascii="Arial" w:hAnsi="Arial" w:cs="Arial"/>
          <w:sz w:val="22"/>
        </w:rPr>
        <w:t xml:space="preserve"> the </w:t>
      </w:r>
      <w:r w:rsidR="00863B84">
        <w:rPr>
          <w:rFonts w:ascii="Arial" w:hAnsi="Arial" w:cs="Arial"/>
          <w:sz w:val="22"/>
        </w:rPr>
        <w:t xml:space="preserve">suggested </w:t>
      </w:r>
      <w:r w:rsidR="002154C7">
        <w:rPr>
          <w:rFonts w:ascii="Arial" w:hAnsi="Arial" w:cs="Arial"/>
          <w:sz w:val="22"/>
        </w:rPr>
        <w:t>changes</w:t>
      </w:r>
      <w:r>
        <w:rPr>
          <w:rFonts w:ascii="Arial" w:hAnsi="Arial" w:cs="Arial"/>
          <w:sz w:val="22"/>
        </w:rPr>
        <w:t xml:space="preserve"> into the final rule.</w:t>
      </w:r>
    </w:p>
    <w:p w:rsidR="00254B6A" w:rsidRDefault="00254B6A" w:rsidP="00B63246">
      <w:pPr>
        <w:rPr>
          <w:rFonts w:ascii="Arial" w:hAnsi="Arial" w:cs="Arial"/>
          <w:sz w:val="22"/>
        </w:rPr>
      </w:pPr>
    </w:p>
    <w:p w:rsidR="00254B6A" w:rsidRDefault="00A06213" w:rsidP="00B6324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437-002-2311(13)</w:t>
      </w:r>
      <w:r w:rsidR="00397DD7">
        <w:rPr>
          <w:rFonts w:ascii="Arial" w:hAnsi="Arial" w:cs="Arial"/>
          <w:b/>
          <w:sz w:val="22"/>
        </w:rPr>
        <w:t>, 437-002-2312(3)(b)</w:t>
      </w:r>
    </w:p>
    <w:p w:rsidR="00A06213" w:rsidRDefault="00A06213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One commenter</w:t>
      </w:r>
      <w:r w:rsidR="00702883">
        <w:rPr>
          <w:rFonts w:ascii="Arial" w:hAnsi="Arial" w:cs="Arial"/>
          <w:sz w:val="16"/>
          <w:szCs w:val="16"/>
          <w:vertAlign w:val="superscript"/>
        </w:rPr>
        <w:t>7</w:t>
      </w:r>
      <w:r w:rsidRPr="00A06213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22"/>
        </w:rPr>
        <w:t>asked why Oregon OSHA changed the terminology “foreman” and “j</w:t>
      </w:r>
      <w:r w:rsidR="00FD33E5">
        <w:rPr>
          <w:rFonts w:ascii="Arial" w:hAnsi="Arial" w:cs="Arial"/>
          <w:sz w:val="22"/>
        </w:rPr>
        <w:t xml:space="preserve">ourneyman” </w:t>
      </w:r>
      <w:r w:rsidR="00FD33E5" w:rsidRPr="008530FE">
        <w:rPr>
          <w:rFonts w:ascii="Arial" w:hAnsi="Arial" w:cs="Arial"/>
          <w:sz w:val="22"/>
        </w:rPr>
        <w:t>to “employee</w:t>
      </w:r>
      <w:r w:rsidR="00FD33E5">
        <w:rPr>
          <w:rFonts w:ascii="Arial" w:hAnsi="Arial" w:cs="Arial"/>
          <w:sz w:val="22"/>
        </w:rPr>
        <w:t xml:space="preserve"> in charge”</w:t>
      </w:r>
      <w:r w:rsidR="00D563B4">
        <w:rPr>
          <w:rFonts w:ascii="Arial" w:hAnsi="Arial" w:cs="Arial"/>
          <w:sz w:val="22"/>
        </w:rPr>
        <w:t xml:space="preserve"> and “worker in charge”,</w:t>
      </w:r>
      <w:r w:rsidR="0088616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as in 437-002-2311(13)(b):  “The foreman </w:t>
      </w:r>
      <w:r w:rsidRPr="00063188">
        <w:rPr>
          <w:rFonts w:ascii="Arial" w:hAnsi="Arial" w:cs="Arial"/>
          <w:i/>
          <w:sz w:val="22"/>
        </w:rPr>
        <w:t>or other worker in charge</w:t>
      </w:r>
      <w:r>
        <w:rPr>
          <w:rFonts w:ascii="Arial" w:hAnsi="Arial" w:cs="Arial"/>
          <w:sz w:val="22"/>
        </w:rPr>
        <w:t xml:space="preserve"> of the work being performed….”  and </w:t>
      </w:r>
      <w:r w:rsidR="00063188">
        <w:rPr>
          <w:rFonts w:ascii="Arial" w:hAnsi="Arial" w:cs="Arial"/>
          <w:sz w:val="22"/>
        </w:rPr>
        <w:t xml:space="preserve">437-002-2312(3)(b):  “The employee that the employer designates…as being in charge of the clearance…becomes </w:t>
      </w:r>
      <w:r w:rsidR="00063188" w:rsidRPr="00063188">
        <w:rPr>
          <w:rFonts w:ascii="Arial" w:hAnsi="Arial" w:cs="Arial"/>
          <w:i/>
          <w:sz w:val="22"/>
        </w:rPr>
        <w:t>the employee in charge</w:t>
      </w:r>
      <w:r w:rsidR="00063188">
        <w:rPr>
          <w:rFonts w:ascii="Arial" w:hAnsi="Arial" w:cs="Arial"/>
          <w:sz w:val="22"/>
        </w:rPr>
        <w:t>….” etc.</w:t>
      </w:r>
    </w:p>
    <w:p w:rsidR="00063188" w:rsidRDefault="00063188" w:rsidP="00B63246">
      <w:pPr>
        <w:rPr>
          <w:rFonts w:ascii="Arial" w:hAnsi="Arial" w:cs="Arial"/>
          <w:sz w:val="22"/>
        </w:rPr>
      </w:pPr>
    </w:p>
    <w:p w:rsidR="009B3BF6" w:rsidRDefault="00063188" w:rsidP="00B6324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Agency decided </w:t>
      </w:r>
      <w:r w:rsidRPr="008530FE">
        <w:rPr>
          <w:rFonts w:ascii="Arial" w:hAnsi="Arial" w:cs="Arial"/>
          <w:sz w:val="22"/>
        </w:rPr>
        <w:t>to use the federal OSHA</w:t>
      </w:r>
      <w:r w:rsidR="005B435C" w:rsidRPr="008530FE">
        <w:rPr>
          <w:rFonts w:ascii="Arial" w:hAnsi="Arial" w:cs="Arial"/>
          <w:sz w:val="22"/>
        </w:rPr>
        <w:t xml:space="preserve"> terminology used</w:t>
      </w:r>
      <w:r w:rsidRPr="008530FE">
        <w:rPr>
          <w:rFonts w:ascii="Arial" w:hAnsi="Arial" w:cs="Arial"/>
          <w:sz w:val="22"/>
        </w:rPr>
        <w:t xml:space="preserve"> in the federal power generation, transmission and distribution rules</w:t>
      </w:r>
      <w:r w:rsidR="005B435C" w:rsidRPr="008530FE">
        <w:rPr>
          <w:rFonts w:ascii="Arial" w:hAnsi="Arial" w:cs="Arial"/>
          <w:sz w:val="22"/>
        </w:rPr>
        <w:t>, such as</w:t>
      </w:r>
      <w:r w:rsidR="0088616A" w:rsidRPr="008530FE">
        <w:rPr>
          <w:rFonts w:ascii="Arial" w:hAnsi="Arial" w:cs="Arial"/>
          <w:sz w:val="22"/>
        </w:rPr>
        <w:t xml:space="preserve"> in 1910.269(m)(3)(i):</w:t>
      </w:r>
      <w:r w:rsidR="005B435C" w:rsidRPr="008530FE">
        <w:rPr>
          <w:rFonts w:ascii="Arial" w:hAnsi="Arial" w:cs="Arial"/>
          <w:sz w:val="22"/>
        </w:rPr>
        <w:t xml:space="preserve"> “</w:t>
      </w:r>
      <w:r w:rsidR="00D563B4" w:rsidRPr="008530FE">
        <w:rPr>
          <w:rFonts w:ascii="Arial" w:hAnsi="Arial" w:cs="Arial"/>
          <w:sz w:val="22"/>
        </w:rPr>
        <w:t xml:space="preserve">The designated employee becomes the </w:t>
      </w:r>
      <w:r w:rsidR="005B435C" w:rsidRPr="008530FE">
        <w:rPr>
          <w:rFonts w:ascii="Arial" w:hAnsi="Arial" w:cs="Arial"/>
          <w:i/>
          <w:sz w:val="22"/>
        </w:rPr>
        <w:t>employee in charge</w:t>
      </w:r>
      <w:r w:rsidR="00D563B4" w:rsidRPr="008530FE">
        <w:rPr>
          <w:rFonts w:ascii="Arial" w:hAnsi="Arial" w:cs="Arial"/>
          <w:sz w:val="22"/>
        </w:rPr>
        <w:t>…”</w:t>
      </w:r>
      <w:r w:rsidR="0088616A" w:rsidRPr="008530FE">
        <w:rPr>
          <w:rFonts w:ascii="Arial" w:hAnsi="Arial" w:cs="Arial"/>
          <w:sz w:val="22"/>
        </w:rPr>
        <w:t xml:space="preserve"> </w:t>
      </w:r>
      <w:r w:rsidR="00D563B4" w:rsidRPr="008530FE">
        <w:rPr>
          <w:rFonts w:ascii="Arial" w:hAnsi="Arial" w:cs="Arial"/>
          <w:sz w:val="22"/>
        </w:rPr>
        <w:t>r</w:t>
      </w:r>
      <w:r w:rsidR="0088616A" w:rsidRPr="008530FE">
        <w:rPr>
          <w:rFonts w:ascii="Arial" w:hAnsi="Arial" w:cs="Arial"/>
          <w:sz w:val="22"/>
        </w:rPr>
        <w:t xml:space="preserve">ather than </w:t>
      </w:r>
      <w:r w:rsidR="00D563B4" w:rsidRPr="008530FE">
        <w:rPr>
          <w:rFonts w:ascii="Arial" w:hAnsi="Arial" w:cs="Arial"/>
          <w:sz w:val="22"/>
        </w:rPr>
        <w:t xml:space="preserve">use terms related to job titles, </w:t>
      </w:r>
      <w:r w:rsidRPr="008530FE">
        <w:rPr>
          <w:rFonts w:ascii="Arial" w:hAnsi="Arial" w:cs="Arial"/>
          <w:sz w:val="22"/>
        </w:rPr>
        <w:t>where possible</w:t>
      </w:r>
      <w:r w:rsidR="00D563B4" w:rsidRPr="008530FE">
        <w:rPr>
          <w:rFonts w:ascii="Arial" w:hAnsi="Arial" w:cs="Arial"/>
          <w:sz w:val="22"/>
        </w:rPr>
        <w:t xml:space="preserve">. This is </w:t>
      </w:r>
      <w:r w:rsidRPr="008530FE">
        <w:rPr>
          <w:rFonts w:ascii="Arial" w:hAnsi="Arial" w:cs="Arial"/>
          <w:sz w:val="22"/>
        </w:rPr>
        <w:t xml:space="preserve">to insure </w:t>
      </w:r>
      <w:r w:rsidR="00397DD7" w:rsidRPr="008530FE">
        <w:rPr>
          <w:rFonts w:ascii="Arial" w:hAnsi="Arial" w:cs="Arial"/>
          <w:sz w:val="22"/>
        </w:rPr>
        <w:t xml:space="preserve">interpretation </w:t>
      </w:r>
      <w:r w:rsidRPr="008530FE">
        <w:rPr>
          <w:rFonts w:ascii="Arial" w:hAnsi="Arial" w:cs="Arial"/>
          <w:sz w:val="22"/>
        </w:rPr>
        <w:t xml:space="preserve">consistency and </w:t>
      </w:r>
      <w:r w:rsidR="00B13E43" w:rsidRPr="008530FE">
        <w:rPr>
          <w:rFonts w:ascii="Arial" w:hAnsi="Arial" w:cs="Arial"/>
          <w:sz w:val="22"/>
        </w:rPr>
        <w:t xml:space="preserve">common </w:t>
      </w:r>
      <w:r w:rsidRPr="008530FE">
        <w:rPr>
          <w:rFonts w:ascii="Arial" w:hAnsi="Arial" w:cs="Arial"/>
          <w:sz w:val="22"/>
        </w:rPr>
        <w:t>understanding, especially for employers who use both the Oregon OSHA rules within the</w:t>
      </w:r>
      <w:r>
        <w:rPr>
          <w:rFonts w:ascii="Arial" w:hAnsi="Arial" w:cs="Arial"/>
          <w:sz w:val="22"/>
        </w:rPr>
        <w:t xml:space="preserve"> State of Oregon, and </w:t>
      </w:r>
      <w:r w:rsidR="00397DD7">
        <w:rPr>
          <w:rFonts w:ascii="Arial" w:hAnsi="Arial" w:cs="Arial"/>
          <w:sz w:val="22"/>
        </w:rPr>
        <w:t>who also operate outside of</w:t>
      </w:r>
      <w:r>
        <w:rPr>
          <w:rFonts w:ascii="Arial" w:hAnsi="Arial" w:cs="Arial"/>
          <w:sz w:val="22"/>
        </w:rPr>
        <w:t xml:space="preserve"> Oregon</w:t>
      </w:r>
      <w:r w:rsidR="00397DD7">
        <w:rPr>
          <w:rFonts w:ascii="Arial" w:hAnsi="Arial" w:cs="Arial"/>
          <w:sz w:val="22"/>
        </w:rPr>
        <w:t>.</w:t>
      </w:r>
    </w:p>
    <w:p w:rsidR="000222ED" w:rsidRDefault="000222ED" w:rsidP="00B63246">
      <w:pPr>
        <w:rPr>
          <w:rFonts w:ascii="Arial" w:hAnsi="Arial" w:cs="Arial"/>
          <w:sz w:val="22"/>
        </w:rPr>
      </w:pPr>
    </w:p>
    <w:p w:rsidR="000222ED" w:rsidRDefault="000222ED" w:rsidP="000222ED">
      <w:pPr>
        <w:rPr>
          <w:rFonts w:ascii="Arial" w:hAnsi="Arial" w:cs="Arial"/>
          <w:sz w:val="22"/>
        </w:rPr>
      </w:pPr>
    </w:p>
    <w:p w:rsidR="00C029A7" w:rsidRDefault="00C029A7" w:rsidP="000222ED">
      <w:pPr>
        <w:rPr>
          <w:rFonts w:ascii="Arial" w:hAnsi="Arial" w:cs="Arial"/>
          <w:sz w:val="22"/>
        </w:rPr>
      </w:pPr>
    </w:p>
    <w:p w:rsidR="00C029A7" w:rsidRDefault="00C029A7" w:rsidP="000222ED">
      <w:pPr>
        <w:rPr>
          <w:rFonts w:ascii="Arial" w:hAnsi="Arial" w:cs="Arial"/>
          <w:sz w:val="22"/>
        </w:rPr>
      </w:pPr>
    </w:p>
    <w:p w:rsidR="00397DD7" w:rsidRDefault="002A2C19" w:rsidP="00B057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B057C5">
        <w:rPr>
          <w:rFonts w:ascii="Arial" w:hAnsi="Arial" w:cs="Arial"/>
          <w:sz w:val="16"/>
          <w:szCs w:val="16"/>
        </w:rPr>
        <w:t>Notation:</w:t>
      </w:r>
      <w:r w:rsidR="00190C4D">
        <w:rPr>
          <w:rFonts w:ascii="Arial" w:hAnsi="Arial" w:cs="Arial"/>
          <w:sz w:val="16"/>
          <w:szCs w:val="16"/>
        </w:rPr>
        <w:tab/>
      </w:r>
      <w:r w:rsidR="00190C4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A62BE">
        <w:rPr>
          <w:rFonts w:ascii="Arial" w:hAnsi="Arial" w:cs="Arial"/>
          <w:sz w:val="16"/>
          <w:szCs w:val="16"/>
        </w:rPr>
        <w:tab/>
      </w:r>
      <w:r w:rsidR="00701BD2" w:rsidRPr="00931A63">
        <w:rPr>
          <w:rFonts w:ascii="Arial" w:hAnsi="Arial" w:cs="Arial"/>
          <w:sz w:val="16"/>
          <w:szCs w:val="16"/>
        </w:rPr>
        <w:t>Commenter:</w:t>
      </w:r>
    </w:p>
    <w:p w:rsidR="009A62BE" w:rsidRDefault="009A62BE" w:rsidP="00B057C5">
      <w:pPr>
        <w:rPr>
          <w:rFonts w:ascii="Arial" w:hAnsi="Arial" w:cs="Arial"/>
          <w:sz w:val="16"/>
          <w:szCs w:val="16"/>
        </w:rPr>
      </w:pPr>
    </w:p>
    <w:p w:rsidR="005B0227" w:rsidRPr="00931A63" w:rsidRDefault="009A62BE" w:rsidP="009A62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01BD2" w:rsidRPr="00931A63">
        <w:rPr>
          <w:rFonts w:ascii="Arial" w:hAnsi="Arial" w:cs="Arial"/>
          <w:sz w:val="16"/>
          <w:szCs w:val="16"/>
        </w:rPr>
        <w:t>S</w:t>
      </w:r>
      <w:r w:rsidR="00B13E43">
        <w:rPr>
          <w:rFonts w:ascii="Arial" w:hAnsi="Arial" w:cs="Arial"/>
          <w:sz w:val="16"/>
          <w:szCs w:val="16"/>
        </w:rPr>
        <w:t>tuart Slone</w:t>
      </w:r>
      <w:r w:rsidR="0083312F">
        <w:rPr>
          <w:rFonts w:ascii="Arial" w:hAnsi="Arial" w:cs="Arial"/>
          <w:sz w:val="16"/>
          <w:szCs w:val="16"/>
        </w:rPr>
        <w:tab/>
      </w:r>
      <w:r w:rsidR="005B0227" w:rsidRPr="00931A63">
        <w:rPr>
          <w:rFonts w:ascii="Arial" w:hAnsi="Arial" w:cs="Arial"/>
          <w:sz w:val="16"/>
          <w:szCs w:val="16"/>
        </w:rPr>
        <w:t>Oregon Rural Electric Cooperative</w:t>
      </w:r>
    </w:p>
    <w:p w:rsidR="005B0227" w:rsidRPr="00931A63" w:rsidRDefault="00B13E43" w:rsidP="009A62BE">
      <w:pPr>
        <w:ind w:left="288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Leslie Ryerson</w:t>
      </w:r>
      <w:r w:rsidR="005B0227" w:rsidRPr="00931A63">
        <w:rPr>
          <w:rFonts w:ascii="Arial" w:hAnsi="Arial" w:cs="Arial"/>
          <w:sz w:val="16"/>
          <w:szCs w:val="16"/>
        </w:rPr>
        <w:tab/>
        <w:t>Central Electric Cooperative</w:t>
      </w:r>
    </w:p>
    <w:p w:rsidR="005B0227" w:rsidRPr="00931A63" w:rsidRDefault="00B13E43" w:rsidP="009A62BE">
      <w:pPr>
        <w:ind w:left="288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Jeff Carson</w:t>
      </w:r>
      <w:r w:rsidR="005B0227" w:rsidRPr="00931A63">
        <w:rPr>
          <w:rFonts w:ascii="Arial" w:hAnsi="Arial" w:cs="Arial"/>
          <w:sz w:val="16"/>
          <w:szCs w:val="16"/>
        </w:rPr>
        <w:tab/>
        <w:t>IBEW Local 125</w:t>
      </w:r>
    </w:p>
    <w:p w:rsidR="005B0227" w:rsidRPr="00931A63" w:rsidRDefault="00B13E43" w:rsidP="009A62BE">
      <w:pPr>
        <w:ind w:left="288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Brad Wilson</w:t>
      </w:r>
      <w:r w:rsidR="005B0227" w:rsidRPr="00931A63">
        <w:rPr>
          <w:rFonts w:ascii="Arial" w:hAnsi="Arial" w:cs="Arial"/>
          <w:sz w:val="16"/>
          <w:szCs w:val="16"/>
        </w:rPr>
        <w:tab/>
        <w:t>Central Electric Cooperative</w:t>
      </w:r>
    </w:p>
    <w:p w:rsidR="005B0227" w:rsidRPr="00931A63" w:rsidRDefault="00B13E43" w:rsidP="009A62BE">
      <w:pPr>
        <w:ind w:left="288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Terry Blanc</w:t>
      </w:r>
      <w:r w:rsidR="005B0227" w:rsidRPr="00931A63">
        <w:rPr>
          <w:rFonts w:ascii="Arial" w:hAnsi="Arial" w:cs="Arial"/>
          <w:sz w:val="16"/>
          <w:szCs w:val="16"/>
        </w:rPr>
        <w:tab/>
        <w:t>Tillamook People’s Utility District</w:t>
      </w:r>
    </w:p>
    <w:p w:rsidR="005B0227" w:rsidRPr="00931A63" w:rsidRDefault="00B13E43" w:rsidP="009A62BE">
      <w:pPr>
        <w:ind w:left="288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Ted Case</w:t>
      </w:r>
      <w:r w:rsidR="009A62BE">
        <w:rPr>
          <w:rFonts w:ascii="Arial" w:hAnsi="Arial" w:cs="Arial"/>
          <w:sz w:val="16"/>
          <w:szCs w:val="16"/>
        </w:rPr>
        <w:tab/>
      </w:r>
      <w:r w:rsidR="005B0227" w:rsidRPr="00931A63">
        <w:rPr>
          <w:rFonts w:ascii="Arial" w:hAnsi="Arial" w:cs="Arial"/>
          <w:sz w:val="16"/>
          <w:szCs w:val="16"/>
        </w:rPr>
        <w:tab/>
        <w:t>OPUDA</w:t>
      </w:r>
    </w:p>
    <w:p w:rsidR="005B0227" w:rsidRPr="00931A63" w:rsidRDefault="00B13E43" w:rsidP="009A62BE">
      <w:pPr>
        <w:ind w:left="288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Robert </w:t>
      </w:r>
      <w:proofErr w:type="spellStart"/>
      <w:r>
        <w:rPr>
          <w:rFonts w:ascii="Arial" w:hAnsi="Arial" w:cs="Arial"/>
          <w:sz w:val="16"/>
          <w:szCs w:val="16"/>
        </w:rPr>
        <w:t>Westerman</w:t>
      </w:r>
      <w:proofErr w:type="spellEnd"/>
      <w:r w:rsidR="005B0227" w:rsidRPr="00931A63">
        <w:rPr>
          <w:rFonts w:ascii="Arial" w:hAnsi="Arial" w:cs="Arial"/>
          <w:sz w:val="16"/>
          <w:szCs w:val="16"/>
        </w:rPr>
        <w:tab/>
        <w:t>OSAEW</w:t>
      </w:r>
    </w:p>
    <w:p w:rsidR="005B0227" w:rsidRPr="00931A63" w:rsidRDefault="005B0227" w:rsidP="009A62BE">
      <w:pPr>
        <w:ind w:left="2880" w:firstLine="720"/>
        <w:rPr>
          <w:rFonts w:ascii="Arial" w:hAnsi="Arial" w:cs="Arial"/>
          <w:sz w:val="16"/>
          <w:szCs w:val="16"/>
        </w:rPr>
      </w:pPr>
      <w:r w:rsidRPr="00931A63">
        <w:rPr>
          <w:rFonts w:ascii="Arial" w:hAnsi="Arial" w:cs="Arial"/>
          <w:sz w:val="16"/>
          <w:szCs w:val="16"/>
        </w:rPr>
        <w:t xml:space="preserve">Mike </w:t>
      </w:r>
      <w:proofErr w:type="spellStart"/>
      <w:r w:rsidRPr="00931A63">
        <w:rPr>
          <w:rFonts w:ascii="Arial" w:hAnsi="Arial" w:cs="Arial"/>
          <w:sz w:val="16"/>
          <w:szCs w:val="16"/>
        </w:rPr>
        <w:t>Scarminach</w:t>
      </w:r>
      <w:proofErr w:type="spellEnd"/>
      <w:r w:rsidRPr="00931A63">
        <w:rPr>
          <w:rFonts w:ascii="Arial" w:hAnsi="Arial" w:cs="Arial"/>
          <w:sz w:val="16"/>
          <w:szCs w:val="16"/>
        </w:rPr>
        <w:tab/>
        <w:t>IBEW</w:t>
      </w:r>
    </w:p>
    <w:p w:rsidR="00701BD2" w:rsidRPr="00931A63" w:rsidRDefault="00701BD2" w:rsidP="00701BD2">
      <w:pPr>
        <w:rPr>
          <w:rFonts w:ascii="Arial" w:hAnsi="Arial" w:cs="Arial"/>
          <w:sz w:val="16"/>
          <w:szCs w:val="16"/>
        </w:rPr>
      </w:pPr>
    </w:p>
    <w:p w:rsidR="00701BD2" w:rsidRPr="00931A63" w:rsidRDefault="009A62BE" w:rsidP="009A62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2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01BD2" w:rsidRPr="00931A63">
        <w:rPr>
          <w:rFonts w:ascii="Arial" w:hAnsi="Arial" w:cs="Arial"/>
          <w:sz w:val="16"/>
          <w:szCs w:val="16"/>
        </w:rPr>
        <w:t xml:space="preserve">Mark </w:t>
      </w:r>
      <w:proofErr w:type="spellStart"/>
      <w:r w:rsidR="00701BD2" w:rsidRPr="00931A63">
        <w:rPr>
          <w:rFonts w:ascii="Arial" w:hAnsi="Arial" w:cs="Arial"/>
          <w:sz w:val="16"/>
          <w:szCs w:val="16"/>
        </w:rPr>
        <w:t>Rettman</w:t>
      </w:r>
      <w:proofErr w:type="spellEnd"/>
      <w:r w:rsidR="0083312F">
        <w:rPr>
          <w:rFonts w:ascii="Arial" w:hAnsi="Arial" w:cs="Arial"/>
          <w:sz w:val="16"/>
          <w:szCs w:val="16"/>
        </w:rPr>
        <w:tab/>
      </w:r>
      <w:r w:rsidR="00701BD2" w:rsidRPr="00931A63">
        <w:rPr>
          <w:rFonts w:ascii="Arial" w:hAnsi="Arial" w:cs="Arial"/>
          <w:sz w:val="16"/>
          <w:szCs w:val="16"/>
        </w:rPr>
        <w:t>Oregon Public Utilities Commission</w:t>
      </w:r>
    </w:p>
    <w:p w:rsidR="00701BD2" w:rsidRPr="00931A63" w:rsidRDefault="00701BD2" w:rsidP="00701BD2">
      <w:pPr>
        <w:rPr>
          <w:rFonts w:ascii="Arial" w:hAnsi="Arial" w:cs="Arial"/>
          <w:sz w:val="16"/>
          <w:szCs w:val="16"/>
        </w:rPr>
      </w:pPr>
    </w:p>
    <w:p w:rsidR="00701BD2" w:rsidRPr="00931A63" w:rsidRDefault="009A62BE" w:rsidP="00701BD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01BD2" w:rsidRPr="00931A63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01BD2" w:rsidRPr="00931A63">
        <w:rPr>
          <w:rFonts w:ascii="Arial" w:hAnsi="Arial" w:cs="Arial"/>
          <w:sz w:val="16"/>
          <w:szCs w:val="16"/>
        </w:rPr>
        <w:t>Stuart Slone</w:t>
      </w:r>
      <w:r w:rsidR="00701BD2" w:rsidRPr="00931A63">
        <w:rPr>
          <w:rFonts w:ascii="Arial" w:hAnsi="Arial" w:cs="Arial"/>
          <w:sz w:val="16"/>
          <w:szCs w:val="16"/>
        </w:rPr>
        <w:tab/>
        <w:t>Oregon Rural Electric Cooperative</w:t>
      </w:r>
    </w:p>
    <w:p w:rsidR="00701BD2" w:rsidRPr="00931A63" w:rsidRDefault="00701BD2" w:rsidP="00701BD2">
      <w:pPr>
        <w:rPr>
          <w:rFonts w:ascii="Arial" w:hAnsi="Arial" w:cs="Arial"/>
          <w:sz w:val="16"/>
          <w:szCs w:val="16"/>
        </w:rPr>
      </w:pPr>
    </w:p>
    <w:p w:rsidR="002D5076" w:rsidRPr="00931A63" w:rsidRDefault="009A62BE" w:rsidP="002D50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01BD2" w:rsidRPr="00931A63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D5076" w:rsidRPr="00931A63">
        <w:rPr>
          <w:rFonts w:ascii="Arial" w:hAnsi="Arial" w:cs="Arial"/>
          <w:sz w:val="16"/>
          <w:szCs w:val="16"/>
        </w:rPr>
        <w:t>Stuart Slone</w:t>
      </w:r>
      <w:r w:rsidR="002D5076" w:rsidRPr="00931A63">
        <w:rPr>
          <w:rFonts w:ascii="Arial" w:hAnsi="Arial" w:cs="Arial"/>
          <w:sz w:val="16"/>
          <w:szCs w:val="16"/>
        </w:rPr>
        <w:tab/>
        <w:t>Oregon Rural Electric Cooperative</w:t>
      </w:r>
    </w:p>
    <w:p w:rsidR="00931A63" w:rsidRPr="00931A63" w:rsidRDefault="00B13E43" w:rsidP="009A62BE">
      <w:pPr>
        <w:ind w:left="288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Jeff Carson</w:t>
      </w:r>
      <w:r w:rsidR="00931A63" w:rsidRPr="00931A63">
        <w:rPr>
          <w:rFonts w:ascii="Arial" w:hAnsi="Arial" w:cs="Arial"/>
          <w:sz w:val="16"/>
          <w:szCs w:val="16"/>
        </w:rPr>
        <w:tab/>
        <w:t>IBEW Local 125</w:t>
      </w:r>
    </w:p>
    <w:p w:rsidR="00701BD2" w:rsidRPr="00931A63" w:rsidRDefault="002D5076" w:rsidP="00701BD2">
      <w:pPr>
        <w:rPr>
          <w:rFonts w:ascii="Arial" w:hAnsi="Arial" w:cs="Arial"/>
          <w:sz w:val="16"/>
          <w:szCs w:val="16"/>
        </w:rPr>
      </w:pPr>
      <w:r w:rsidRPr="00931A63">
        <w:rPr>
          <w:rFonts w:ascii="Arial" w:hAnsi="Arial" w:cs="Arial"/>
          <w:sz w:val="16"/>
          <w:szCs w:val="16"/>
        </w:rPr>
        <w:tab/>
      </w:r>
      <w:r w:rsidR="00931A63" w:rsidRPr="00931A63">
        <w:rPr>
          <w:rFonts w:ascii="Arial" w:hAnsi="Arial" w:cs="Arial"/>
          <w:sz w:val="16"/>
          <w:szCs w:val="16"/>
        </w:rPr>
        <w:tab/>
      </w:r>
      <w:r w:rsidR="009A62BE">
        <w:rPr>
          <w:rFonts w:ascii="Arial" w:hAnsi="Arial" w:cs="Arial"/>
          <w:sz w:val="16"/>
          <w:szCs w:val="16"/>
        </w:rPr>
        <w:tab/>
      </w:r>
      <w:r w:rsidR="009A62BE">
        <w:rPr>
          <w:rFonts w:ascii="Arial" w:hAnsi="Arial" w:cs="Arial"/>
          <w:sz w:val="16"/>
          <w:szCs w:val="16"/>
        </w:rPr>
        <w:tab/>
      </w:r>
      <w:r w:rsidR="009A62BE">
        <w:rPr>
          <w:rFonts w:ascii="Arial" w:hAnsi="Arial" w:cs="Arial"/>
          <w:sz w:val="16"/>
          <w:szCs w:val="16"/>
        </w:rPr>
        <w:tab/>
      </w:r>
      <w:r w:rsidR="00931A63" w:rsidRPr="00931A63">
        <w:rPr>
          <w:rFonts w:ascii="Arial" w:hAnsi="Arial" w:cs="Arial"/>
          <w:sz w:val="16"/>
          <w:szCs w:val="16"/>
        </w:rPr>
        <w:t xml:space="preserve">Travis </w:t>
      </w:r>
      <w:proofErr w:type="spellStart"/>
      <w:r w:rsidR="00931A63" w:rsidRPr="00931A63">
        <w:rPr>
          <w:rFonts w:ascii="Arial" w:hAnsi="Arial" w:cs="Arial"/>
          <w:sz w:val="16"/>
          <w:szCs w:val="16"/>
        </w:rPr>
        <w:t>Eri</w:t>
      </w:r>
      <w:proofErr w:type="spellEnd"/>
      <w:r w:rsidR="00931A63" w:rsidRPr="00931A63">
        <w:rPr>
          <w:rFonts w:ascii="Arial" w:hAnsi="Arial" w:cs="Arial"/>
          <w:sz w:val="16"/>
          <w:szCs w:val="16"/>
        </w:rPr>
        <w:tab/>
      </w:r>
      <w:r w:rsidR="00931A63" w:rsidRPr="00931A63">
        <w:rPr>
          <w:rFonts w:ascii="Arial" w:hAnsi="Arial" w:cs="Arial"/>
          <w:sz w:val="16"/>
          <w:szCs w:val="16"/>
        </w:rPr>
        <w:tab/>
        <w:t>IBEW Local 125</w:t>
      </w:r>
    </w:p>
    <w:p w:rsidR="00931A63" w:rsidRPr="00931A63" w:rsidRDefault="00931A63" w:rsidP="00701BD2">
      <w:pPr>
        <w:rPr>
          <w:rFonts w:ascii="Arial" w:hAnsi="Arial" w:cs="Arial"/>
          <w:sz w:val="16"/>
          <w:szCs w:val="16"/>
        </w:rPr>
      </w:pPr>
      <w:r w:rsidRPr="00931A63">
        <w:rPr>
          <w:rFonts w:ascii="Arial" w:hAnsi="Arial" w:cs="Arial"/>
          <w:sz w:val="16"/>
          <w:szCs w:val="16"/>
        </w:rPr>
        <w:tab/>
      </w:r>
      <w:r w:rsidRPr="00931A63">
        <w:rPr>
          <w:rFonts w:ascii="Arial" w:hAnsi="Arial" w:cs="Arial"/>
          <w:sz w:val="16"/>
          <w:szCs w:val="16"/>
        </w:rPr>
        <w:tab/>
      </w:r>
      <w:r w:rsidR="009A62BE">
        <w:rPr>
          <w:rFonts w:ascii="Arial" w:hAnsi="Arial" w:cs="Arial"/>
          <w:sz w:val="16"/>
          <w:szCs w:val="16"/>
        </w:rPr>
        <w:tab/>
      </w:r>
      <w:r w:rsidR="009A62BE">
        <w:rPr>
          <w:rFonts w:ascii="Arial" w:hAnsi="Arial" w:cs="Arial"/>
          <w:sz w:val="16"/>
          <w:szCs w:val="16"/>
        </w:rPr>
        <w:tab/>
      </w:r>
      <w:r w:rsidR="009A62BE">
        <w:rPr>
          <w:rFonts w:ascii="Arial" w:hAnsi="Arial" w:cs="Arial"/>
          <w:sz w:val="16"/>
          <w:szCs w:val="16"/>
        </w:rPr>
        <w:tab/>
      </w:r>
      <w:r w:rsidRPr="00931A63">
        <w:rPr>
          <w:rFonts w:ascii="Arial" w:hAnsi="Arial" w:cs="Arial"/>
          <w:sz w:val="16"/>
          <w:szCs w:val="16"/>
        </w:rPr>
        <w:t xml:space="preserve">Robert </w:t>
      </w:r>
      <w:proofErr w:type="spellStart"/>
      <w:r w:rsidRPr="00931A63">
        <w:rPr>
          <w:rFonts w:ascii="Arial" w:hAnsi="Arial" w:cs="Arial"/>
          <w:sz w:val="16"/>
          <w:szCs w:val="16"/>
        </w:rPr>
        <w:t>Holshouser</w:t>
      </w:r>
      <w:proofErr w:type="spellEnd"/>
      <w:r w:rsidRPr="00931A63">
        <w:rPr>
          <w:rFonts w:ascii="Arial" w:hAnsi="Arial" w:cs="Arial"/>
          <w:sz w:val="16"/>
          <w:szCs w:val="16"/>
        </w:rPr>
        <w:tab/>
        <w:t>International Line Builders</w:t>
      </w:r>
    </w:p>
    <w:p w:rsidR="00931A63" w:rsidRPr="00931A63" w:rsidRDefault="00931A63" w:rsidP="00701BD2">
      <w:pPr>
        <w:rPr>
          <w:rFonts w:ascii="Arial" w:hAnsi="Arial" w:cs="Arial"/>
          <w:sz w:val="16"/>
          <w:szCs w:val="16"/>
        </w:rPr>
      </w:pPr>
    </w:p>
    <w:p w:rsidR="00931A63" w:rsidRPr="00931A63" w:rsidRDefault="009A62BE" w:rsidP="00701BD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5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31A63" w:rsidRPr="00931A63">
        <w:rPr>
          <w:rFonts w:ascii="Arial" w:hAnsi="Arial" w:cs="Arial"/>
          <w:sz w:val="16"/>
          <w:szCs w:val="16"/>
        </w:rPr>
        <w:t>Zac Dillingham</w:t>
      </w:r>
      <w:r w:rsidR="0083312F">
        <w:rPr>
          <w:rFonts w:ascii="Arial" w:hAnsi="Arial" w:cs="Arial"/>
          <w:sz w:val="16"/>
          <w:szCs w:val="16"/>
        </w:rPr>
        <w:tab/>
      </w:r>
      <w:r w:rsidR="00931A63" w:rsidRPr="00931A63">
        <w:rPr>
          <w:rFonts w:ascii="Arial" w:hAnsi="Arial" w:cs="Arial"/>
          <w:sz w:val="16"/>
          <w:szCs w:val="16"/>
        </w:rPr>
        <w:t>Salem Electric</w:t>
      </w:r>
    </w:p>
    <w:p w:rsidR="00931A63" w:rsidRPr="00931A63" w:rsidRDefault="00931A63" w:rsidP="00701BD2">
      <w:pPr>
        <w:rPr>
          <w:rFonts w:ascii="Arial" w:hAnsi="Arial" w:cs="Arial"/>
          <w:sz w:val="16"/>
          <w:szCs w:val="16"/>
        </w:rPr>
      </w:pPr>
      <w:r w:rsidRPr="00931A63">
        <w:rPr>
          <w:rFonts w:ascii="Arial" w:hAnsi="Arial" w:cs="Arial"/>
          <w:sz w:val="16"/>
          <w:szCs w:val="16"/>
        </w:rPr>
        <w:tab/>
      </w:r>
      <w:r w:rsidRPr="00931A63">
        <w:rPr>
          <w:rFonts w:ascii="Arial" w:hAnsi="Arial" w:cs="Arial"/>
          <w:sz w:val="16"/>
          <w:szCs w:val="16"/>
        </w:rPr>
        <w:tab/>
      </w:r>
      <w:r w:rsidR="009A62BE">
        <w:rPr>
          <w:rFonts w:ascii="Arial" w:hAnsi="Arial" w:cs="Arial"/>
          <w:sz w:val="16"/>
          <w:szCs w:val="16"/>
        </w:rPr>
        <w:tab/>
      </w:r>
      <w:r w:rsidR="009A62BE">
        <w:rPr>
          <w:rFonts w:ascii="Arial" w:hAnsi="Arial" w:cs="Arial"/>
          <w:sz w:val="16"/>
          <w:szCs w:val="16"/>
        </w:rPr>
        <w:tab/>
      </w:r>
      <w:r w:rsidR="009A62BE">
        <w:rPr>
          <w:rFonts w:ascii="Arial" w:hAnsi="Arial" w:cs="Arial"/>
          <w:sz w:val="16"/>
          <w:szCs w:val="16"/>
        </w:rPr>
        <w:tab/>
      </w:r>
      <w:r w:rsidRPr="00931A63">
        <w:rPr>
          <w:rFonts w:ascii="Arial" w:hAnsi="Arial" w:cs="Arial"/>
          <w:sz w:val="16"/>
          <w:szCs w:val="16"/>
        </w:rPr>
        <w:t xml:space="preserve">Mike </w:t>
      </w:r>
      <w:proofErr w:type="spellStart"/>
      <w:r w:rsidRPr="00931A63">
        <w:rPr>
          <w:rFonts w:ascii="Arial" w:hAnsi="Arial" w:cs="Arial"/>
          <w:sz w:val="16"/>
          <w:szCs w:val="16"/>
        </w:rPr>
        <w:t>Scarminach</w:t>
      </w:r>
      <w:proofErr w:type="spellEnd"/>
      <w:r w:rsidRPr="00931A63">
        <w:rPr>
          <w:rFonts w:ascii="Arial" w:hAnsi="Arial" w:cs="Arial"/>
          <w:sz w:val="16"/>
          <w:szCs w:val="16"/>
        </w:rPr>
        <w:tab/>
        <w:t>IBEW</w:t>
      </w:r>
    </w:p>
    <w:p w:rsidR="00931A63" w:rsidRPr="00931A63" w:rsidRDefault="00931A63" w:rsidP="00701BD2">
      <w:pPr>
        <w:rPr>
          <w:rFonts w:ascii="Arial" w:hAnsi="Arial" w:cs="Arial"/>
          <w:sz w:val="16"/>
          <w:szCs w:val="16"/>
        </w:rPr>
      </w:pPr>
    </w:p>
    <w:p w:rsidR="00931A63" w:rsidRPr="00931A63" w:rsidRDefault="009A62BE" w:rsidP="00701BD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931A63" w:rsidRPr="00931A63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31A63" w:rsidRPr="00931A63">
        <w:rPr>
          <w:rFonts w:ascii="Arial" w:hAnsi="Arial" w:cs="Arial"/>
          <w:sz w:val="16"/>
          <w:szCs w:val="16"/>
        </w:rPr>
        <w:t xml:space="preserve">Dave </w:t>
      </w:r>
      <w:proofErr w:type="spellStart"/>
      <w:r w:rsidR="00931A63" w:rsidRPr="00931A63">
        <w:rPr>
          <w:rFonts w:ascii="Arial" w:hAnsi="Arial" w:cs="Arial"/>
          <w:sz w:val="16"/>
          <w:szCs w:val="16"/>
        </w:rPr>
        <w:t>Feerst</w:t>
      </w:r>
      <w:proofErr w:type="spellEnd"/>
      <w:r w:rsidR="00931A63" w:rsidRPr="00931A63">
        <w:rPr>
          <w:rFonts w:ascii="Arial" w:hAnsi="Arial" w:cs="Arial"/>
          <w:sz w:val="16"/>
          <w:szCs w:val="16"/>
        </w:rPr>
        <w:tab/>
      </w:r>
      <w:proofErr w:type="spellStart"/>
      <w:r w:rsidR="00931A63" w:rsidRPr="00931A63">
        <w:rPr>
          <w:rFonts w:ascii="Arial" w:hAnsi="Arial" w:cs="Arial"/>
          <w:sz w:val="16"/>
          <w:szCs w:val="16"/>
        </w:rPr>
        <w:t>Winco</w:t>
      </w:r>
      <w:proofErr w:type="spellEnd"/>
      <w:r w:rsidR="00931A63" w:rsidRPr="00931A6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A63" w:rsidRPr="00931A63">
        <w:rPr>
          <w:rFonts w:ascii="Arial" w:hAnsi="Arial" w:cs="Arial"/>
          <w:sz w:val="16"/>
          <w:szCs w:val="16"/>
        </w:rPr>
        <w:t>Inc</w:t>
      </w:r>
      <w:proofErr w:type="spellEnd"/>
    </w:p>
    <w:p w:rsidR="00931A63" w:rsidRPr="00931A63" w:rsidRDefault="00931A63" w:rsidP="009A62BE">
      <w:pPr>
        <w:ind w:left="2880" w:firstLine="720"/>
        <w:rPr>
          <w:rFonts w:ascii="Arial" w:hAnsi="Arial" w:cs="Arial"/>
          <w:sz w:val="16"/>
          <w:szCs w:val="16"/>
        </w:rPr>
      </w:pPr>
      <w:r w:rsidRPr="00931A63">
        <w:rPr>
          <w:rFonts w:ascii="Arial" w:hAnsi="Arial" w:cs="Arial"/>
          <w:sz w:val="16"/>
          <w:szCs w:val="16"/>
        </w:rPr>
        <w:t>Tracy Harness</w:t>
      </w:r>
      <w:r w:rsidR="0083312F">
        <w:rPr>
          <w:rFonts w:ascii="Arial" w:hAnsi="Arial" w:cs="Arial"/>
          <w:sz w:val="16"/>
          <w:szCs w:val="16"/>
        </w:rPr>
        <w:tab/>
      </w:r>
      <w:r w:rsidRPr="00931A63">
        <w:rPr>
          <w:rFonts w:ascii="Arial" w:hAnsi="Arial" w:cs="Arial"/>
          <w:sz w:val="16"/>
          <w:szCs w:val="16"/>
        </w:rPr>
        <w:t>Northwest Line Constructors</w:t>
      </w:r>
    </w:p>
    <w:p w:rsidR="00931A63" w:rsidRPr="00931A63" w:rsidRDefault="00931A63" w:rsidP="00701BD2">
      <w:pPr>
        <w:rPr>
          <w:rFonts w:ascii="Arial" w:hAnsi="Arial" w:cs="Arial"/>
          <w:sz w:val="16"/>
          <w:szCs w:val="16"/>
        </w:rPr>
      </w:pPr>
    </w:p>
    <w:p w:rsidR="00931A63" w:rsidRDefault="009A62BE" w:rsidP="00701BD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="00931A63" w:rsidRPr="00931A63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E608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31A63" w:rsidRPr="00931A63">
        <w:rPr>
          <w:rFonts w:ascii="Arial" w:hAnsi="Arial" w:cs="Arial"/>
          <w:sz w:val="16"/>
          <w:szCs w:val="16"/>
        </w:rPr>
        <w:t xml:space="preserve">Travis </w:t>
      </w:r>
      <w:proofErr w:type="spellStart"/>
      <w:r w:rsidR="00931A63" w:rsidRPr="00931A63">
        <w:rPr>
          <w:rFonts w:ascii="Arial" w:hAnsi="Arial" w:cs="Arial"/>
          <w:sz w:val="16"/>
          <w:szCs w:val="16"/>
        </w:rPr>
        <w:t>Eri</w:t>
      </w:r>
      <w:proofErr w:type="spellEnd"/>
      <w:r>
        <w:rPr>
          <w:rFonts w:ascii="Arial" w:hAnsi="Arial" w:cs="Arial"/>
          <w:sz w:val="16"/>
          <w:szCs w:val="16"/>
        </w:rPr>
        <w:tab/>
      </w:r>
      <w:r w:rsidR="00931A63" w:rsidRPr="00931A63">
        <w:rPr>
          <w:rFonts w:ascii="Arial" w:hAnsi="Arial" w:cs="Arial"/>
          <w:sz w:val="16"/>
          <w:szCs w:val="16"/>
        </w:rPr>
        <w:tab/>
        <w:t>IBEW Local 125</w:t>
      </w:r>
    </w:p>
    <w:p w:rsidR="002D5076" w:rsidRPr="00701BD2" w:rsidRDefault="002D5076" w:rsidP="00701BD2">
      <w:pPr>
        <w:rPr>
          <w:rFonts w:ascii="Arial" w:hAnsi="Arial" w:cs="Arial"/>
          <w:sz w:val="18"/>
          <w:szCs w:val="18"/>
        </w:rPr>
      </w:pPr>
    </w:p>
    <w:p w:rsidR="00E36570" w:rsidRDefault="00B13E43" w:rsidP="00B63246">
      <w:pPr>
        <w:rPr>
          <w:rFonts w:ascii="Arial" w:hAnsi="Arial" w:cs="Arial"/>
          <w:sz w:val="16"/>
          <w:szCs w:val="16"/>
        </w:rPr>
      </w:pPr>
      <w:r w:rsidRPr="00B13E43">
        <w:rPr>
          <w:rFonts w:ascii="Arial" w:hAnsi="Arial" w:cs="Arial"/>
          <w:sz w:val="16"/>
          <w:szCs w:val="16"/>
        </w:rPr>
        <w:t>N</w:t>
      </w:r>
      <w:r w:rsidR="00B057C5">
        <w:rPr>
          <w:rFonts w:ascii="Arial" w:hAnsi="Arial" w:cs="Arial"/>
          <w:sz w:val="16"/>
          <w:szCs w:val="16"/>
        </w:rPr>
        <w:t>OTE:  Some commenters testified</w:t>
      </w:r>
      <w:r w:rsidRPr="00B13E43">
        <w:rPr>
          <w:rFonts w:ascii="Arial" w:hAnsi="Arial" w:cs="Arial"/>
          <w:sz w:val="16"/>
          <w:szCs w:val="16"/>
        </w:rPr>
        <w:t xml:space="preserve"> multiple times, both orally and in writing.</w:t>
      </w:r>
    </w:p>
    <w:p w:rsidR="00B057C5" w:rsidRPr="00B13E43" w:rsidRDefault="00B057C5" w:rsidP="00B63246">
      <w:pPr>
        <w:rPr>
          <w:rFonts w:ascii="Arial" w:hAnsi="Arial" w:cs="Arial"/>
          <w:sz w:val="16"/>
          <w:szCs w:val="16"/>
        </w:rPr>
      </w:pPr>
    </w:p>
    <w:sectPr w:rsidR="00B057C5" w:rsidRPr="00B13E43" w:rsidSect="009662AD">
      <w:footerReference w:type="default" r:id="rId8"/>
      <w:pgSz w:w="12240" w:h="15840" w:code="1"/>
      <w:pgMar w:top="1008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B4" w:rsidRDefault="00D563B4">
      <w:r>
        <w:separator/>
      </w:r>
    </w:p>
  </w:endnote>
  <w:endnote w:type="continuationSeparator" w:id="0">
    <w:p w:rsidR="00D563B4" w:rsidRDefault="00D5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B4" w:rsidRDefault="00D563B4" w:rsidP="00B87416"/>
  <w:p w:rsidR="00D563B4" w:rsidRDefault="00D563B4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6D5F33">
      <w:rPr>
        <w:noProof/>
      </w:rPr>
      <w:t>3</w:t>
    </w:r>
    <w:r>
      <w:fldChar w:fldCharType="end"/>
    </w:r>
  </w:p>
  <w:p w:rsidR="00D563B4" w:rsidRDefault="00D563B4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B4" w:rsidRDefault="00D563B4">
      <w:r>
        <w:separator/>
      </w:r>
    </w:p>
  </w:footnote>
  <w:footnote w:type="continuationSeparator" w:id="0">
    <w:p w:rsidR="00D563B4" w:rsidRDefault="00D5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0EF33A3B"/>
    <w:multiLevelType w:val="hybridMultilevel"/>
    <w:tmpl w:val="68E21DE4"/>
    <w:lvl w:ilvl="0" w:tplc="A036E55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DA877DE"/>
    <w:multiLevelType w:val="hybridMultilevel"/>
    <w:tmpl w:val="9552046E"/>
    <w:lvl w:ilvl="0" w:tplc="A036E5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40709AF"/>
    <w:multiLevelType w:val="hybridMultilevel"/>
    <w:tmpl w:val="812CF534"/>
    <w:lvl w:ilvl="0" w:tplc="A036E55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BE72599"/>
    <w:multiLevelType w:val="hybridMultilevel"/>
    <w:tmpl w:val="308CD5E6"/>
    <w:lvl w:ilvl="0" w:tplc="61E033D0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CA4A39"/>
    <w:multiLevelType w:val="hybridMultilevel"/>
    <w:tmpl w:val="65B07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13D05"/>
    <w:multiLevelType w:val="hybridMultilevel"/>
    <w:tmpl w:val="0B38B134"/>
    <w:lvl w:ilvl="0" w:tplc="A036E5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9"/>
  </w:num>
  <w:num w:numId="12">
    <w:abstractNumId w:val="1"/>
  </w:num>
  <w:num w:numId="13">
    <w:abstractNumId w:val="9"/>
  </w:num>
  <w:num w:numId="14">
    <w:abstractNumId w:val="12"/>
  </w:num>
  <w:num w:numId="15">
    <w:abstractNumId w:val="13"/>
  </w:num>
  <w:num w:numId="16">
    <w:abstractNumId w:val="11"/>
  </w:num>
  <w:num w:numId="17">
    <w:abstractNumId w:val="14"/>
  </w:num>
  <w:num w:numId="18">
    <w:abstractNumId w:val="7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2F"/>
    <w:rsid w:val="0001531A"/>
    <w:rsid w:val="000222ED"/>
    <w:rsid w:val="00063188"/>
    <w:rsid w:val="00075B46"/>
    <w:rsid w:val="00080350"/>
    <w:rsid w:val="0008390A"/>
    <w:rsid w:val="00106388"/>
    <w:rsid w:val="00115EF9"/>
    <w:rsid w:val="00131D96"/>
    <w:rsid w:val="00190C4D"/>
    <w:rsid w:val="001F4455"/>
    <w:rsid w:val="002154C7"/>
    <w:rsid w:val="002279DE"/>
    <w:rsid w:val="0024054A"/>
    <w:rsid w:val="00254B6A"/>
    <w:rsid w:val="002739B7"/>
    <w:rsid w:val="002A2C19"/>
    <w:rsid w:val="002C372F"/>
    <w:rsid w:val="002D5076"/>
    <w:rsid w:val="0035790C"/>
    <w:rsid w:val="0039210B"/>
    <w:rsid w:val="0039536F"/>
    <w:rsid w:val="00397DD7"/>
    <w:rsid w:val="004529AA"/>
    <w:rsid w:val="004974E6"/>
    <w:rsid w:val="005B0227"/>
    <w:rsid w:val="005B435C"/>
    <w:rsid w:val="00675398"/>
    <w:rsid w:val="006D5792"/>
    <w:rsid w:val="006D5F33"/>
    <w:rsid w:val="006E56EE"/>
    <w:rsid w:val="006E7C5E"/>
    <w:rsid w:val="006F5428"/>
    <w:rsid w:val="00701BD2"/>
    <w:rsid w:val="00702883"/>
    <w:rsid w:val="00725B18"/>
    <w:rsid w:val="00736628"/>
    <w:rsid w:val="007753E1"/>
    <w:rsid w:val="0083312F"/>
    <w:rsid w:val="00835AF5"/>
    <w:rsid w:val="00850C05"/>
    <w:rsid w:val="008530FE"/>
    <w:rsid w:val="00863B84"/>
    <w:rsid w:val="0088616A"/>
    <w:rsid w:val="008B1DB0"/>
    <w:rsid w:val="008F359B"/>
    <w:rsid w:val="00927B2F"/>
    <w:rsid w:val="00931A63"/>
    <w:rsid w:val="009662AD"/>
    <w:rsid w:val="009A62BE"/>
    <w:rsid w:val="009B3BF6"/>
    <w:rsid w:val="009C4D5E"/>
    <w:rsid w:val="009D1C74"/>
    <w:rsid w:val="009E361D"/>
    <w:rsid w:val="009E3FBA"/>
    <w:rsid w:val="00A06213"/>
    <w:rsid w:val="00A245B5"/>
    <w:rsid w:val="00A8762E"/>
    <w:rsid w:val="00AA3551"/>
    <w:rsid w:val="00AD3E82"/>
    <w:rsid w:val="00AD6108"/>
    <w:rsid w:val="00B057C5"/>
    <w:rsid w:val="00B079EF"/>
    <w:rsid w:val="00B11D1A"/>
    <w:rsid w:val="00B13E43"/>
    <w:rsid w:val="00B14E13"/>
    <w:rsid w:val="00B63246"/>
    <w:rsid w:val="00B70929"/>
    <w:rsid w:val="00B851F2"/>
    <w:rsid w:val="00B87416"/>
    <w:rsid w:val="00BF20D0"/>
    <w:rsid w:val="00C029A7"/>
    <w:rsid w:val="00CF1DFC"/>
    <w:rsid w:val="00CF2CF4"/>
    <w:rsid w:val="00D06D06"/>
    <w:rsid w:val="00D17D43"/>
    <w:rsid w:val="00D20F82"/>
    <w:rsid w:val="00D3179D"/>
    <w:rsid w:val="00D563B4"/>
    <w:rsid w:val="00D611DA"/>
    <w:rsid w:val="00D935BD"/>
    <w:rsid w:val="00DA55B6"/>
    <w:rsid w:val="00DB18D3"/>
    <w:rsid w:val="00DE20FE"/>
    <w:rsid w:val="00E00BDC"/>
    <w:rsid w:val="00E1032E"/>
    <w:rsid w:val="00E140F1"/>
    <w:rsid w:val="00E36570"/>
    <w:rsid w:val="00E40834"/>
    <w:rsid w:val="00E458A1"/>
    <w:rsid w:val="00E73BD4"/>
    <w:rsid w:val="00ED2BFB"/>
    <w:rsid w:val="00F20767"/>
    <w:rsid w:val="00FD33E5"/>
    <w:rsid w:val="00FD5D99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2F"/>
    <w:rPr>
      <w:rFonts w:asciiTheme="minorHAnsi" w:eastAsiaTheme="minorEastAsia" w:hAnsiTheme="minorHAns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D96"/>
    <w:pPr>
      <w:keepNext/>
      <w:spacing w:before="240" w:after="60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1D96"/>
    <w:pPr>
      <w:keepNext/>
      <w:spacing w:before="240" w:after="60"/>
      <w:outlineLvl w:val="1"/>
    </w:pPr>
    <w:rPr>
      <w:rFonts w:ascii="Times New Roman" w:eastAsia="Times New Roman" w:hAnsi="Times New Roman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1D96"/>
    <w:pPr>
      <w:keepNext/>
      <w:spacing w:before="240" w:after="60"/>
      <w:outlineLvl w:val="2"/>
    </w:pPr>
    <w:rPr>
      <w:rFonts w:ascii="Times New Roman" w:eastAsia="Times New Roman" w:hAnsi="Times New Rom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  <w:rPr>
      <w:rFonts w:ascii="Times New Roman" w:eastAsia="Times New Roman" w:hAnsi="Times New Roman"/>
      <w:szCs w:val="24"/>
    </w:rPr>
  </w:style>
  <w:style w:type="paragraph" w:styleId="ListNumber5">
    <w:name w:val="List Number 5"/>
    <w:basedOn w:val="Normal"/>
    <w:semiHidden/>
    <w:pPr>
      <w:numPr>
        <w:ilvl w:val="4"/>
        <w:numId w:val="13"/>
      </w:numPr>
    </w:pPr>
    <w:rPr>
      <w:rFonts w:ascii="Times New Roman" w:eastAsia="Times New Roman" w:hAnsi="Times New Roman"/>
      <w:szCs w:val="24"/>
    </w:rPr>
  </w:style>
  <w:style w:type="paragraph" w:styleId="ListBullet">
    <w:name w:val="List Bullet"/>
    <w:basedOn w:val="Normal"/>
    <w:semiHidden/>
    <w:pPr>
      <w:numPr>
        <w:numId w:val="14"/>
      </w:numPr>
    </w:pPr>
    <w:rPr>
      <w:rFonts w:ascii="Times New Roman" w:eastAsia="Times New Roman" w:hAnsi="Times New Roman"/>
      <w:szCs w:val="24"/>
    </w:rPr>
  </w:style>
  <w:style w:type="paragraph" w:styleId="ListNumber2">
    <w:name w:val="List Number 2"/>
    <w:basedOn w:val="Normal"/>
    <w:semiHidden/>
    <w:pPr>
      <w:numPr>
        <w:ilvl w:val="1"/>
        <w:numId w:val="13"/>
      </w:numPr>
    </w:pPr>
    <w:rPr>
      <w:rFonts w:ascii="Times New Roman" w:eastAsia="Times New Roman" w:hAnsi="Times New Roman"/>
      <w:szCs w:val="24"/>
    </w:rPr>
  </w:style>
  <w:style w:type="paragraph" w:styleId="ListNumber3">
    <w:name w:val="List Number 3"/>
    <w:basedOn w:val="Normal"/>
    <w:semiHidden/>
    <w:pPr>
      <w:numPr>
        <w:ilvl w:val="2"/>
        <w:numId w:val="13"/>
      </w:numPr>
    </w:pPr>
    <w:rPr>
      <w:rFonts w:ascii="Times New Roman" w:eastAsia="Times New Roman" w:hAnsi="Times New Roman"/>
      <w:szCs w:val="24"/>
    </w:rPr>
  </w:style>
  <w:style w:type="paragraph" w:styleId="ListNumber4">
    <w:name w:val="List Number 4"/>
    <w:basedOn w:val="Normal"/>
    <w:semiHidden/>
    <w:pPr>
      <w:numPr>
        <w:ilvl w:val="3"/>
        <w:numId w:val="13"/>
      </w:numPr>
    </w:pPr>
    <w:rPr>
      <w:rFonts w:ascii="Times New Roman" w:eastAsia="Times New Roman" w:hAnsi="Times New Roman"/>
      <w:szCs w:val="24"/>
    </w:rPr>
  </w:style>
  <w:style w:type="paragraph" w:customStyle="1" w:styleId="QuoteIndent">
    <w:name w:val="Quote Indent"/>
    <w:basedOn w:val="Normal"/>
    <w:pPr>
      <w:ind w:left="720" w:right="1008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sz w:val="18"/>
      <w:szCs w:val="24"/>
    </w:rPr>
  </w:style>
  <w:style w:type="paragraph" w:customStyle="1" w:styleId="KENs">
    <w:name w:val="KEN's"/>
    <w:basedOn w:val="Heading1"/>
    <w:link w:val="KENsChar"/>
    <w:qFormat/>
    <w:rsid w:val="00131D96"/>
    <w:rPr>
      <w:rFonts w:ascii="Arial" w:hAnsi="Arial"/>
      <w:b w:val="0"/>
      <w:sz w:val="22"/>
      <w:szCs w:val="22"/>
    </w:rPr>
  </w:style>
  <w:style w:type="character" w:customStyle="1" w:styleId="KENsChar">
    <w:name w:val="KEN's Char"/>
    <w:basedOn w:val="Heading1Char"/>
    <w:link w:val="KENs"/>
    <w:rsid w:val="00131D96"/>
    <w:rPr>
      <w:rFonts w:ascii="Arial" w:hAnsi="Arial" w:cs="Arial"/>
      <w:b w:val="0"/>
      <w:bCs/>
      <w:kern w:val="32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31D96"/>
    <w:rPr>
      <w:rFonts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C372F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C372F"/>
    <w:rPr>
      <w:rFonts w:cs="Arial"/>
      <w:bCs/>
      <w:sz w:val="24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8F359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359B"/>
    <w:rPr>
      <w:rFonts w:ascii="Calibri" w:eastAsia="Calibri" w:hAnsi="Calibri"/>
      <w:sz w:val="22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87416"/>
    <w:rPr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41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2F"/>
    <w:rPr>
      <w:rFonts w:asciiTheme="minorHAnsi" w:eastAsiaTheme="minorEastAsia" w:hAnsiTheme="minorHAns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D96"/>
    <w:pPr>
      <w:keepNext/>
      <w:spacing w:before="240" w:after="60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1D96"/>
    <w:pPr>
      <w:keepNext/>
      <w:spacing w:before="240" w:after="60"/>
      <w:outlineLvl w:val="1"/>
    </w:pPr>
    <w:rPr>
      <w:rFonts w:ascii="Times New Roman" w:eastAsia="Times New Roman" w:hAnsi="Times New Roman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1D96"/>
    <w:pPr>
      <w:keepNext/>
      <w:spacing w:before="240" w:after="60"/>
      <w:outlineLvl w:val="2"/>
    </w:pPr>
    <w:rPr>
      <w:rFonts w:ascii="Times New Roman" w:eastAsia="Times New Roman" w:hAnsi="Times New Rom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  <w:rPr>
      <w:rFonts w:ascii="Times New Roman" w:eastAsia="Times New Roman" w:hAnsi="Times New Roman"/>
      <w:szCs w:val="24"/>
    </w:rPr>
  </w:style>
  <w:style w:type="paragraph" w:styleId="ListNumber5">
    <w:name w:val="List Number 5"/>
    <w:basedOn w:val="Normal"/>
    <w:semiHidden/>
    <w:pPr>
      <w:numPr>
        <w:ilvl w:val="4"/>
        <w:numId w:val="13"/>
      </w:numPr>
    </w:pPr>
    <w:rPr>
      <w:rFonts w:ascii="Times New Roman" w:eastAsia="Times New Roman" w:hAnsi="Times New Roman"/>
      <w:szCs w:val="24"/>
    </w:rPr>
  </w:style>
  <w:style w:type="paragraph" w:styleId="ListBullet">
    <w:name w:val="List Bullet"/>
    <w:basedOn w:val="Normal"/>
    <w:semiHidden/>
    <w:pPr>
      <w:numPr>
        <w:numId w:val="14"/>
      </w:numPr>
    </w:pPr>
    <w:rPr>
      <w:rFonts w:ascii="Times New Roman" w:eastAsia="Times New Roman" w:hAnsi="Times New Roman"/>
      <w:szCs w:val="24"/>
    </w:rPr>
  </w:style>
  <w:style w:type="paragraph" w:styleId="ListNumber2">
    <w:name w:val="List Number 2"/>
    <w:basedOn w:val="Normal"/>
    <w:semiHidden/>
    <w:pPr>
      <w:numPr>
        <w:ilvl w:val="1"/>
        <w:numId w:val="13"/>
      </w:numPr>
    </w:pPr>
    <w:rPr>
      <w:rFonts w:ascii="Times New Roman" w:eastAsia="Times New Roman" w:hAnsi="Times New Roman"/>
      <w:szCs w:val="24"/>
    </w:rPr>
  </w:style>
  <w:style w:type="paragraph" w:styleId="ListNumber3">
    <w:name w:val="List Number 3"/>
    <w:basedOn w:val="Normal"/>
    <w:semiHidden/>
    <w:pPr>
      <w:numPr>
        <w:ilvl w:val="2"/>
        <w:numId w:val="13"/>
      </w:numPr>
    </w:pPr>
    <w:rPr>
      <w:rFonts w:ascii="Times New Roman" w:eastAsia="Times New Roman" w:hAnsi="Times New Roman"/>
      <w:szCs w:val="24"/>
    </w:rPr>
  </w:style>
  <w:style w:type="paragraph" w:styleId="ListNumber4">
    <w:name w:val="List Number 4"/>
    <w:basedOn w:val="Normal"/>
    <w:semiHidden/>
    <w:pPr>
      <w:numPr>
        <w:ilvl w:val="3"/>
        <w:numId w:val="13"/>
      </w:numPr>
    </w:pPr>
    <w:rPr>
      <w:rFonts w:ascii="Times New Roman" w:eastAsia="Times New Roman" w:hAnsi="Times New Roman"/>
      <w:szCs w:val="24"/>
    </w:rPr>
  </w:style>
  <w:style w:type="paragraph" w:customStyle="1" w:styleId="QuoteIndent">
    <w:name w:val="Quote Indent"/>
    <w:basedOn w:val="Normal"/>
    <w:pPr>
      <w:ind w:left="720" w:right="1008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sz w:val="18"/>
      <w:szCs w:val="24"/>
    </w:rPr>
  </w:style>
  <w:style w:type="paragraph" w:customStyle="1" w:styleId="KENs">
    <w:name w:val="KEN's"/>
    <w:basedOn w:val="Heading1"/>
    <w:link w:val="KENsChar"/>
    <w:qFormat/>
    <w:rsid w:val="00131D96"/>
    <w:rPr>
      <w:rFonts w:ascii="Arial" w:hAnsi="Arial"/>
      <w:b w:val="0"/>
      <w:sz w:val="22"/>
      <w:szCs w:val="22"/>
    </w:rPr>
  </w:style>
  <w:style w:type="character" w:customStyle="1" w:styleId="KENsChar">
    <w:name w:val="KEN's Char"/>
    <w:basedOn w:val="Heading1Char"/>
    <w:link w:val="KENs"/>
    <w:rsid w:val="00131D96"/>
    <w:rPr>
      <w:rFonts w:ascii="Arial" w:hAnsi="Arial" w:cs="Arial"/>
      <w:b w:val="0"/>
      <w:bCs/>
      <w:kern w:val="32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31D96"/>
    <w:rPr>
      <w:rFonts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C372F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C372F"/>
    <w:rPr>
      <w:rFonts w:cs="Arial"/>
      <w:bCs/>
      <w:sz w:val="24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8F359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359B"/>
    <w:rPr>
      <w:rFonts w:ascii="Calibri" w:eastAsia="Calibri" w:hAnsi="Calibri"/>
      <w:sz w:val="22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87416"/>
    <w:rPr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41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ulemakingSummary" ma:contentTypeID="0x0101009A9B6552B0B369419FE821ED633C17A707004941715C25DB7B45865B98894BC40EEB" ma:contentTypeVersion="23" ma:contentTypeDescription="Summary of comments and decisions for rulemaking" ma:contentTypeScope="" ma:versionID="a74b3ab4f9914737594032f43da26f0c">
  <xsd:schema xmlns:xsd="http://www.w3.org/2001/XMLSchema" xmlns:xs="http://www.w3.org/2001/XMLSchema" xmlns:p="http://schemas.microsoft.com/office/2006/metadata/properties" xmlns:ns2="4abed4e2-db5c-4e78-ae88-7ca7a6241065" targetNamespace="http://schemas.microsoft.com/office/2006/metadata/properties" ma:root="true" ma:fieldsID="ade9ad431ec43ed7c7dc75838f81442a" ns2:_="">
    <xsd:import namespace="4abed4e2-db5c-4e78-ae88-7ca7a6241065"/>
    <xsd:element name="properties">
      <xsd:complexType>
        <xsd:sequence>
          <xsd:element name="documentManagement">
            <xsd:complexType>
              <xsd:all>
                <xsd:element ref="ns2:RuleType" minOccurs="0"/>
                <xsd:element ref="ns2:Inactive" minOccurs="0"/>
                <xsd:element ref="ns2:AdminOrder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RuleType" ma:index="1" nillable="true" ma:displayName="RuleType" ma:default="   " ma:description="pick one type for a rule-related document" ma:format="Dropdown" ma:internalName="RuleType" ma:readOnly="false">
      <xsd:simpleType>
        <xsd:restriction base="dms:Choice">
          <xsd:enumeration value="Adopted Rules"/>
          <xsd:enumeration value="Advisory Memo"/>
          <xsd:enumeration value="Final Rules"/>
          <xsd:enumeration value="Interpretations"/>
          <xsd:enumeration value="Proposed Rules"/>
          <xsd:enumeration value="Program Directives"/>
          <xsd:enumeration value="Summary of comments and decisions"/>
        </xsd:restriction>
      </xsd:simpleType>
    </xsd:element>
    <xsd:element name="Inactive" ma:index="3" nillable="true" ma:displayName="Inactive" ma:default="0" ma:internalName="Inactive" ma:readOnly="false">
      <xsd:simpleType>
        <xsd:restriction base="dms:Boolean"/>
      </xsd:simpleType>
    </xsd:element>
    <xsd:element name="AdminOrder" ma:index="4" nillable="true" ma:displayName="Administrative Order #" ma:description="#-#### Format&#10;Administrative order number for rules" ma:internalName="AdminOrder" ma:readOnly="false">
      <xsd:simpleType>
        <xsd:restriction base="dms:Text">
          <xsd:maxLength value="255"/>
        </xsd:restriction>
      </xsd:simpleType>
    </xsd:element>
    <xsd:element name="Topic" ma:index="5" nillable="true" ma:displayName="Topic" ma:description="Pick associated topics" ma:list="{913132ca-d302-4b93-9158-b48ece0e0b4d}" ma:internalName="Topic" ma:readOnly="false" ma:showField="Title" ma:web="4abed4e2-db5c-4e78-ae88-7ca7a6241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bed4e2-db5c-4e78-ae88-7ca7a6241065">
      <Value>207</Value>
    </Topic>
    <RuleType xmlns="4abed4e2-db5c-4e78-ae88-7ca7a6241065">Summary of comments and decisions</RuleType>
    <Inactive xmlns="4abed4e2-db5c-4e78-ae88-7ca7a6241065">true</Inactive>
    <AdminOrder xmlns="4abed4e2-db5c-4e78-ae88-7ca7a6241065">3-2015</AdminOrder>
  </documentManagement>
</p:properties>
</file>

<file path=customXml/itemProps1.xml><?xml version="1.0" encoding="utf-8"?>
<ds:datastoreItem xmlns:ds="http://schemas.openxmlformats.org/officeDocument/2006/customXml" ds:itemID="{277FE3B1-70A7-403C-9131-02AF1EADC151}"/>
</file>

<file path=customXml/itemProps2.xml><?xml version="1.0" encoding="utf-8"?>
<ds:datastoreItem xmlns:ds="http://schemas.openxmlformats.org/officeDocument/2006/customXml" ds:itemID="{14007AEB-4B24-4ABC-8BC0-BBA817D344F8}"/>
</file>

<file path=customXml/itemProps3.xml><?xml version="1.0" encoding="utf-8"?>
<ds:datastoreItem xmlns:ds="http://schemas.openxmlformats.org/officeDocument/2006/customXml" ds:itemID="{C6A5793C-9420-4C1C-9151-067168C02B18}"/>
</file>

<file path=docProps/app.xml><?xml version="1.0" encoding="utf-8"?>
<Properties xmlns="http://schemas.openxmlformats.org/officeDocument/2006/extended-properties" xmlns:vt="http://schemas.openxmlformats.org/officeDocument/2006/docPropsVTypes">
  <Template>40567DC3.dotm</Template>
  <TotalTime>0</TotalTime>
  <Pages>3</Pages>
  <Words>1130</Words>
  <Characters>6917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comments and agency decisions regarding proposed changes to electric power generation, transmission, and distribution in Division 2 General industry and Division 3 Construction Administrative Rules</dc:title>
  <dc:creator>Ken Langley</dc:creator>
  <cp:lastModifiedBy>Tawnya Swanson</cp:lastModifiedBy>
  <cp:revision>2</cp:revision>
  <cp:lastPrinted>2016-03-30T15:44:00Z</cp:lastPrinted>
  <dcterms:created xsi:type="dcterms:W3CDTF">2016-08-11T22:29:00Z</dcterms:created>
  <dcterms:modified xsi:type="dcterms:W3CDTF">2016-08-11T22:29:00Z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0x0101009A9B6552B0B369419FE821ED633C17A707004941715C25DB7B45865B98894BC40EEB</vt:lpwstr>
  </property>
  <property fmtid="{D5CDD505-2E9C-101B-9397-08002B2CF9AE}" pid="3" name="Order">
    <vt:r8>102700</vt:r8>
  </property>
  <property fmtid="{D5CDD505-2E9C-101B-9397-08002B2CF9AE}" pid="4" name="DateFiled">
    <vt:filetime>2015-10-09T07:00:00Z</vt:filetime>
  </property>
  <property fmtid="{D5CDD505-2E9C-101B-9397-08002B2CF9AE}" pid="5" name="AdminOrder">
    <vt:lpwstr>3-2015</vt:lpwstr>
  </property>
  <property fmtid="{D5CDD505-2E9C-101B-9397-08002B2CF9AE}" pid="6" name="DateEffective">
    <vt:filetime>2016-01-01T08:00:00Z</vt:filetime>
  </property>
  <property fmtid="{D5CDD505-2E9C-101B-9397-08002B2CF9AE}" pid="7" name="WordVersion">
    <vt:lpwstr/>
  </property>
  <property fmtid="{D5CDD505-2E9C-101B-9397-08002B2CF9AE}" pid="8" name="URL">
    <vt:lpwstr/>
  </property>
  <property fmtid="{D5CDD505-2E9C-101B-9397-08002B2CF9AE}" pid="10" name="ProgramDirectiveNumber">
    <vt:lpwstr/>
  </property>
  <property fmtid="{D5CDD505-2E9C-101B-9397-08002B2CF9AE}" pid="11" name="RuleDivision">
    <vt:lpwstr/>
  </property>
  <property fmtid="{D5CDD505-2E9C-101B-9397-08002B2CF9AE}" pid="12" name="Description1">
    <vt:lpwstr/>
  </property>
</Properties>
</file>