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14:paraId="50B9CCFB" w14:textId="77777777" w:rsidTr="006E1720">
        <w:trPr>
          <w:cantSplit/>
        </w:trPr>
        <w:tc>
          <w:tcPr>
            <w:tcW w:w="5076" w:type="dxa"/>
          </w:tcPr>
          <w:p w14:paraId="76104A15" w14:textId="77777777" w:rsidR="0075057C" w:rsidRDefault="0075057C" w:rsidP="0075057C">
            <w:r>
              <w:rPr>
                <w:noProof/>
              </w:rPr>
              <w:drawing>
                <wp:inline distT="0" distB="0" distL="0" distR="0" wp14:anchorId="5D74FCB2" wp14:editId="6C0F1A25">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14:paraId="69F710D2" w14:textId="77777777" w:rsidR="0075057C" w:rsidRPr="00DA7B53" w:rsidRDefault="0075057C" w:rsidP="0075057C">
            <w:pPr>
              <w:pStyle w:val="Heading2"/>
            </w:pPr>
            <w:r w:rsidRPr="00DA7B53">
              <w:t>Oregon Administrative Rules</w:t>
            </w:r>
          </w:p>
          <w:p w14:paraId="464D389B" w14:textId="77777777" w:rsidR="0075057C" w:rsidRPr="00DA7B53" w:rsidRDefault="0075057C" w:rsidP="0075057C">
            <w:pPr>
              <w:pStyle w:val="Heading2"/>
            </w:pPr>
            <w:r w:rsidRPr="00DA7B53">
              <w:t>Chapter 437</w:t>
            </w:r>
          </w:p>
          <w:p w14:paraId="1B8176DD" w14:textId="77777777" w:rsidR="0075057C" w:rsidRPr="005F4147" w:rsidRDefault="0075057C" w:rsidP="005F4147"/>
        </w:tc>
      </w:tr>
      <w:tr w:rsidR="0075057C" w14:paraId="6ADABF95" w14:textId="77777777" w:rsidTr="0075057C">
        <w:trPr>
          <w:cantSplit/>
          <w:trHeight w:hRule="exact" w:val="7920"/>
        </w:trPr>
        <w:tc>
          <w:tcPr>
            <w:tcW w:w="10152" w:type="dxa"/>
            <w:gridSpan w:val="2"/>
            <w:vAlign w:val="bottom"/>
          </w:tcPr>
          <w:p w14:paraId="02F9AB14" w14:textId="77777777" w:rsidR="0075057C" w:rsidRPr="00573118" w:rsidRDefault="0075057C" w:rsidP="0075057C">
            <w:pPr>
              <w:jc w:val="right"/>
            </w:pPr>
          </w:p>
          <w:p w14:paraId="3F24D557" w14:textId="77777777"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14:paraId="3F1D4658" w14:textId="77777777"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14:paraId="0319317E" w14:textId="77777777" w:rsidR="0075057C" w:rsidRDefault="006270F9" w:rsidP="0075057C">
                  <w:pPr>
                    <w:pStyle w:val="Heading2"/>
                  </w:pPr>
                  <w:sdt>
                    <w:sdtPr>
                      <w:alias w:val="Division"/>
                      <w:tag w:val=""/>
                      <w:id w:val="-1520928311"/>
                      <w:lock w:val="sdtLocked"/>
                      <w:placeholder>
                        <w:docPart w:val="934EC98D385F4B61AFF1693727C4C300"/>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8A4003">
                        <w:t>2</w:t>
                      </w:r>
                    </w:sdtContent>
                  </w:sdt>
                </w:p>
                <w:sdt>
                  <w:sdtPr>
                    <w:alias w:val="Division Title"/>
                    <w:tag w:val="Division Title"/>
                    <w:id w:val="1327177191"/>
                    <w:placeholder>
                      <w:docPart w:val="955487BD56B742F6B223D445F9B51F64"/>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788C72CE" w14:textId="77777777" w:rsidR="0075057C" w:rsidRDefault="008A4003" w:rsidP="00CD7BE5">
                      <w:pPr>
                        <w:jc w:val="right"/>
                      </w:pPr>
                      <w:r>
                        <w:t>General Occupational Safety and Health</w:t>
                      </w:r>
                    </w:p>
                  </w:sdtContent>
                </w:sdt>
              </w:tc>
            </w:tr>
            <w:tr w:rsidR="001C613E" w14:paraId="65C32DED" w14:textId="77777777"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14:paraId="612071F6" w14:textId="77777777" w:rsidR="001C613E" w:rsidRPr="0075057C" w:rsidRDefault="006270F9" w:rsidP="00104FAD">
                  <w:pPr>
                    <w:pStyle w:val="Title"/>
                    <w:framePr w:vSpace="0" w:wrap="auto" w:xAlign="left" w:yAlign="inline"/>
                    <w:suppressOverlap w:val="0"/>
                    <w:rPr>
                      <w:rStyle w:val="Oregon"/>
                      <w:i w:val="0"/>
                    </w:rPr>
                  </w:pPr>
                  <w:sdt>
                    <w:sdtPr>
                      <w:rPr>
                        <w:i/>
                      </w:rPr>
                      <w:alias w:val="Title"/>
                      <w:tag w:val=""/>
                      <w:id w:val="-943765335"/>
                      <w:lock w:val="sdtLocked"/>
                      <w:placeholder>
                        <w:docPart w:val="CFBEACF27139417A9761B4D79816C552"/>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392330">
                        <w:rPr>
                          <w:i/>
                        </w:rPr>
                        <w:t>Protection from Wildfire Smoke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14:paraId="34C0DBF6" w14:textId="77777777" w:rsidR="001C613E" w:rsidRPr="008C0E3F" w:rsidRDefault="001C613E" w:rsidP="002B06E2">
                  <w:pPr>
                    <w:pStyle w:val="Heading2"/>
                    <w:spacing w:before="0" w:after="0"/>
                    <w:jc w:val="center"/>
                  </w:pPr>
                  <w:r>
                    <w:t>Subdivision</w:t>
                  </w:r>
                </w:p>
              </w:tc>
            </w:tr>
            <w:tr w:rsidR="001C613E" w:rsidRPr="00964F85" w14:paraId="0EF080F1" w14:textId="77777777" w:rsidTr="0075057C">
              <w:trPr>
                <w:cantSplit/>
                <w:trHeight w:hRule="exact" w:val="1500"/>
                <w:jc w:val="center"/>
              </w:trPr>
              <w:tc>
                <w:tcPr>
                  <w:tcW w:w="3755" w:type="pct"/>
                  <w:vMerge/>
                  <w:tcBorders>
                    <w:right w:val="single" w:sz="24" w:space="0" w:color="808080" w:themeColor="background1" w:themeShade="80"/>
                  </w:tcBorders>
                  <w:vAlign w:val="bottom"/>
                </w:tcPr>
                <w:p w14:paraId="0BC5DAD5" w14:textId="77777777"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14:paraId="4068C8EA" w14:textId="77777777" w:rsidR="001C613E" w:rsidRPr="00964F85" w:rsidRDefault="006270F9" w:rsidP="00EA48AA">
                  <w:pPr>
                    <w:pStyle w:val="BigAccent"/>
                    <w:framePr w:wrap="auto" w:xAlign="left" w:yAlign="inline"/>
                    <w:suppressOverlap w:val="0"/>
                  </w:pPr>
                  <w:sdt>
                    <w:sdtPr>
                      <w:rPr>
                        <w:rStyle w:val="BigAccentChar"/>
                        <w:kern w:val="0"/>
                      </w:rPr>
                      <w:alias w:val="Subdivision"/>
                      <w:tag w:val=""/>
                      <w:id w:val="493841245"/>
                      <w:lock w:val="sdtLocked"/>
                      <w:placeholder>
                        <w:docPart w:val="A9BE60B29DA3441CB7975224D9AEEE66"/>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392330">
                        <w:rPr>
                          <w:rStyle w:val="BigAccentChar"/>
                          <w:kern w:val="0"/>
                        </w:rPr>
                        <w:t>Z</w:t>
                      </w:r>
                    </w:sdtContent>
                  </w:sdt>
                </w:p>
              </w:tc>
            </w:tr>
            <w:tr w:rsidR="001C613E" w14:paraId="3435C161" w14:textId="77777777" w:rsidTr="0075057C">
              <w:trPr>
                <w:cantSplit/>
                <w:trHeight w:val="375"/>
                <w:jc w:val="center"/>
              </w:trPr>
              <w:tc>
                <w:tcPr>
                  <w:tcW w:w="3755" w:type="pct"/>
                  <w:vMerge/>
                  <w:tcBorders>
                    <w:right w:val="single" w:sz="24" w:space="0" w:color="808080" w:themeColor="background1" w:themeShade="80"/>
                  </w:tcBorders>
                </w:tcPr>
                <w:p w14:paraId="3B8F5F6A" w14:textId="77777777"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14:paraId="064C3263" w14:textId="77777777" w:rsidR="001C613E" w:rsidRPr="001C613E" w:rsidRDefault="001C613E" w:rsidP="002B06E2">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06B29C161BC74696B05423F253E79B09"/>
                      </w:placeholder>
                      <w:dataBinding w:prefixMappings="xmlns:ns0='http://purl.org/dc/elements/1.1/' xmlns:ns1='http://schemas.openxmlformats.org/package/2006/metadata/core-properties' " w:xpath="/ns1:coreProperties[1]/ns0:description[1]" w:storeItemID="{6C3C8BC8-F283-45AE-878A-BAB7291924A1}"/>
                      <w:text/>
                    </w:sdtPr>
                    <w:sdtEndPr/>
                    <w:sdtContent>
                      <w:r w:rsidR="00CD315C">
                        <w:rPr>
                          <w:b w:val="0"/>
                          <w:sz w:val="28"/>
                        </w:rPr>
                        <w:t>4-2022</w:t>
                      </w:r>
                    </w:sdtContent>
                  </w:sdt>
                  <w:bookmarkEnd w:id="0"/>
                </w:p>
              </w:tc>
            </w:tr>
            <w:tr w:rsidR="001C613E" w14:paraId="2EF0CD43" w14:textId="77777777" w:rsidTr="0075057C">
              <w:trPr>
                <w:cantSplit/>
                <w:trHeight w:hRule="exact" w:val="1860"/>
                <w:jc w:val="center"/>
              </w:trPr>
              <w:tc>
                <w:tcPr>
                  <w:tcW w:w="5000" w:type="pct"/>
                  <w:gridSpan w:val="2"/>
                  <w:noWrap/>
                  <w:vAlign w:val="bottom"/>
                </w:tcPr>
                <w:p w14:paraId="0D486FAC" w14:textId="77777777" w:rsidR="001C613E" w:rsidRDefault="001C613E" w:rsidP="0075057C">
                  <w:pPr>
                    <w:pStyle w:val="NoSpacing"/>
                    <w:jc w:val="center"/>
                  </w:pPr>
                  <w:r>
                    <w:rPr>
                      <w:noProof/>
                    </w:rPr>
                    <w:drawing>
                      <wp:inline distT="0" distB="0" distL="0" distR="0" wp14:anchorId="1A6AE359" wp14:editId="11A08203">
                        <wp:extent cx="1737360" cy="938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stretch>
                                  <a:fillRect/>
                                </a:stretch>
                              </pic:blipFill>
                              <pic:spPr>
                                <a:xfrm>
                                  <a:off x="0" y="0"/>
                                  <a:ext cx="1737360" cy="938174"/>
                                </a:xfrm>
                                <a:prstGeom prst="rect">
                                  <a:avLst/>
                                </a:prstGeom>
                              </pic:spPr>
                            </pic:pic>
                          </a:graphicData>
                        </a:graphic>
                      </wp:inline>
                    </w:drawing>
                  </w:r>
                </w:p>
              </w:tc>
            </w:tr>
          </w:tbl>
          <w:p w14:paraId="66FF4A85" w14:textId="77777777" w:rsidR="0075057C" w:rsidRDefault="0075057C" w:rsidP="0075057C">
            <w:pPr>
              <w:jc w:val="right"/>
            </w:pPr>
          </w:p>
        </w:tc>
      </w:tr>
    </w:tbl>
    <w:p w14:paraId="64F4AD37" w14:textId="77777777" w:rsidR="0077374B" w:rsidRDefault="0077374B" w:rsidP="0075057C">
      <w:pPr>
        <w:pStyle w:val="NoSpacing"/>
      </w:pPr>
      <w:r>
        <w:br w:type="page"/>
      </w:r>
    </w:p>
    <w:p w14:paraId="19A5FB03" w14:textId="77777777"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(OSEAct)</w:t>
      </w:r>
      <w:r>
        <w:rPr>
          <w:rStyle w:val="Notes"/>
        </w:rPr>
        <w:t xml:space="preserve">, </w:t>
      </w:r>
      <w:proofErr w:type="spellStart"/>
      <w:r>
        <w:rPr>
          <w:rStyle w:val="Notes"/>
        </w:rPr>
        <w:t>t</w:t>
      </w:r>
      <w:r w:rsidR="00207CE4" w:rsidRPr="00207CE4">
        <w:rPr>
          <w:sz w:val="20"/>
        </w:rPr>
        <w:t>he</w:t>
      </w:r>
      <w:proofErr w:type="spellEnd"/>
      <w:r w:rsidR="00207CE4" w:rsidRPr="00207CE4">
        <w:rPr>
          <w:sz w:val="20"/>
        </w:rPr>
        <w:t xml:space="preserv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14:paraId="0F9B6860" w14:textId="77777777"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14:paraId="57FFECE3" w14:textId="77777777"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14:paraId="102F9B48" w14:textId="77777777"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14:paraId="0D64D254" w14:textId="77777777"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14:paraId="6FE5AAB1" w14:textId="77777777"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14:paraId="58D241C2" w14:textId="77777777"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14:paraId="15319A41" w14:textId="77777777"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14:paraId="2AF75CDF" w14:textId="77777777" w:rsidR="003A3DB6" w:rsidRDefault="003A3DB6" w:rsidP="00207CE4">
      <w:pPr>
        <w:rPr>
          <w:rStyle w:val="Notes"/>
        </w:rPr>
      </w:pPr>
    </w:p>
    <w:p w14:paraId="6EB2A5C2" w14:textId="77777777"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14:paraId="568E0002" w14:textId="77777777"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14:paraId="20A3225F" w14:textId="77777777"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14:paraId="2D6A6197" w14:textId="77777777" w:rsidR="00A5785F" w:rsidRDefault="00A5785F" w:rsidP="00207CE4">
      <w:pPr>
        <w:rPr>
          <w:rStyle w:val="Notes"/>
        </w:rPr>
      </w:pPr>
      <w:r>
        <w:rPr>
          <w:rStyle w:val="Notes"/>
        </w:rPr>
        <w:t>Cite as 437-002-0221(1)(a)</w:t>
      </w:r>
    </w:p>
    <w:p w14:paraId="652EB7D8" w14:textId="77777777" w:rsidR="005374C9" w:rsidRDefault="005374C9" w:rsidP="00207CE4">
      <w:pPr>
        <w:rPr>
          <w:rStyle w:val="Notes"/>
        </w:rPr>
      </w:pPr>
    </w:p>
    <w:p w14:paraId="4C4FB914" w14:textId="77777777"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14:paraId="297C056A" w14:textId="77777777"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14:paraId="15E8827C" w14:textId="77777777" w:rsidR="003C30F9" w:rsidRDefault="00A5785F" w:rsidP="00207CE4">
      <w:pPr>
        <w:rPr>
          <w:rStyle w:val="Notes"/>
        </w:rPr>
      </w:pPr>
      <w:r>
        <w:rPr>
          <w:rStyle w:val="Notes"/>
        </w:rPr>
        <w:t>Cite as 1910.176(a)(1)</w:t>
      </w:r>
    </w:p>
    <w:p w14:paraId="13E293C2" w14:textId="77777777"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14:paraId="764B429B" w14:textId="77777777" w:rsidR="00207CE4" w:rsidRPr="00224E45" w:rsidRDefault="006270F9" w:rsidP="00207CE4">
      <w:pPr>
        <w:rPr>
          <w:rStyle w:val="Notes"/>
        </w:rPr>
      </w:pPr>
      <w:r>
        <w:rPr>
          <w:rStyle w:val="Notes"/>
        </w:rPr>
        <w:pict w14:anchorId="55A854CD">
          <v:rect id="_x0000_i1033" style="width:471.6pt;height:3pt" o:hralign="center" o:hrstd="t" o:hrnoshade="t" o:hr="t" fillcolor="gray [1629]" stroked="f"/>
        </w:pict>
      </w:r>
    </w:p>
    <w:p w14:paraId="404718F0" w14:textId="77777777"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14:paraId="029486EF" w14:textId="77777777"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14:paraId="170926D7" w14:textId="77777777"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14:paraId="5523B96F" w14:textId="77777777"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14:paraId="568DB210" w14:textId="77777777"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14:paraId="14F4E861" w14:textId="77777777"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14:paraId="12839F8B" w14:textId="77777777"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14:paraId="5E8C43DA" w14:textId="66853B8A" w:rsidR="008A4003" w:rsidRDefault="000F151D" w:rsidP="00285E75">
          <w:pPr>
            <w:pStyle w:val="TOC1"/>
            <w:ind w:right="576"/>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109812494" w:history="1">
            <w:r w:rsidR="008A4003" w:rsidRPr="00AB60F2">
              <w:rPr>
                <w:rStyle w:val="Hyperlink"/>
              </w:rPr>
              <w:t>437-002-1081</w:t>
            </w:r>
            <w:r w:rsidR="008A4003">
              <w:rPr>
                <w:rFonts w:asciiTheme="minorHAnsi" w:eastAsiaTheme="minorEastAsia" w:hAnsiTheme="minorHAnsi" w:cstheme="minorBidi"/>
                <w:iCs w:val="0"/>
                <w:color w:val="auto"/>
                <w:sz w:val="22"/>
                <w:szCs w:val="22"/>
              </w:rPr>
              <w:tab/>
            </w:r>
            <w:r w:rsidR="008A4003" w:rsidRPr="00AB60F2">
              <w:rPr>
                <w:rStyle w:val="Hyperlink"/>
              </w:rPr>
              <w:t>Protection from Wildfire Smoke</w:t>
            </w:r>
            <w:r w:rsidR="008A4003">
              <w:rPr>
                <w:webHidden/>
              </w:rPr>
              <w:tab/>
            </w:r>
            <w:r w:rsidR="008A4003">
              <w:rPr>
                <w:webHidden/>
              </w:rPr>
              <w:fldChar w:fldCharType="begin"/>
            </w:r>
            <w:r w:rsidR="008A4003">
              <w:rPr>
                <w:webHidden/>
              </w:rPr>
              <w:instrText xml:space="preserve"> PAGEREF _Toc109812494 \h </w:instrText>
            </w:r>
            <w:r w:rsidR="008A4003">
              <w:rPr>
                <w:webHidden/>
              </w:rPr>
            </w:r>
            <w:r w:rsidR="008A4003">
              <w:rPr>
                <w:webHidden/>
              </w:rPr>
              <w:fldChar w:fldCharType="separate"/>
            </w:r>
            <w:r w:rsidR="00B377E9">
              <w:rPr>
                <w:webHidden/>
              </w:rPr>
              <w:t>1</w:t>
            </w:r>
            <w:r w:rsidR="008A4003">
              <w:rPr>
                <w:webHidden/>
              </w:rPr>
              <w:fldChar w:fldCharType="end"/>
            </w:r>
          </w:hyperlink>
        </w:p>
        <w:p w14:paraId="4613F06A" w14:textId="6035C64B" w:rsidR="008A4003" w:rsidRDefault="006270F9" w:rsidP="00285E75">
          <w:pPr>
            <w:pStyle w:val="TOC1"/>
            <w:ind w:right="576"/>
            <w:rPr>
              <w:rFonts w:asciiTheme="minorHAnsi" w:eastAsiaTheme="minorEastAsia" w:hAnsiTheme="minorHAnsi" w:cstheme="minorBidi"/>
              <w:iCs w:val="0"/>
              <w:color w:val="auto"/>
              <w:sz w:val="22"/>
              <w:szCs w:val="22"/>
            </w:rPr>
          </w:pPr>
          <w:hyperlink w:anchor="_Toc109812495" w:history="1">
            <w:r w:rsidR="008A4003" w:rsidRPr="00AB60F2">
              <w:rPr>
                <w:rStyle w:val="Hyperlink"/>
              </w:rPr>
              <w:t>Appendix A:</w:t>
            </w:r>
            <w:r w:rsidR="008A4003">
              <w:rPr>
                <w:rFonts w:asciiTheme="minorHAnsi" w:eastAsiaTheme="minorEastAsia" w:hAnsiTheme="minorHAnsi" w:cstheme="minorBidi"/>
                <w:iCs w:val="0"/>
                <w:color w:val="auto"/>
                <w:sz w:val="22"/>
                <w:szCs w:val="22"/>
              </w:rPr>
              <w:tab/>
            </w:r>
            <w:r w:rsidR="008A4003" w:rsidRPr="00AB60F2">
              <w:rPr>
                <w:rStyle w:val="Hyperlink"/>
              </w:rPr>
              <w:t xml:space="preserve"> Mandatory Workplace Guidance for the Use of Filtering Facepiece Respirators to Address Wildfire Smoke</w:t>
            </w:r>
            <w:r w:rsidR="008A4003">
              <w:rPr>
                <w:webHidden/>
              </w:rPr>
              <w:tab/>
            </w:r>
            <w:r w:rsidR="008A4003">
              <w:rPr>
                <w:webHidden/>
              </w:rPr>
              <w:fldChar w:fldCharType="begin"/>
            </w:r>
            <w:r w:rsidR="008A4003">
              <w:rPr>
                <w:webHidden/>
              </w:rPr>
              <w:instrText xml:space="preserve"> PAGEREF _Toc109812495 \h </w:instrText>
            </w:r>
            <w:r w:rsidR="008A4003">
              <w:rPr>
                <w:webHidden/>
              </w:rPr>
            </w:r>
            <w:r w:rsidR="008A4003">
              <w:rPr>
                <w:webHidden/>
              </w:rPr>
              <w:fldChar w:fldCharType="separate"/>
            </w:r>
            <w:r w:rsidR="00B377E9">
              <w:rPr>
                <w:webHidden/>
              </w:rPr>
              <w:t>9</w:t>
            </w:r>
            <w:r w:rsidR="008A4003">
              <w:rPr>
                <w:webHidden/>
              </w:rPr>
              <w:fldChar w:fldCharType="end"/>
            </w:r>
          </w:hyperlink>
        </w:p>
        <w:p w14:paraId="05FAF3C5" w14:textId="000DD2BC" w:rsidR="008A4003" w:rsidRDefault="006270F9" w:rsidP="00285E75">
          <w:pPr>
            <w:pStyle w:val="TOC1"/>
            <w:ind w:right="576"/>
            <w:rPr>
              <w:rFonts w:asciiTheme="minorHAnsi" w:eastAsiaTheme="minorEastAsia" w:hAnsiTheme="minorHAnsi" w:cstheme="minorBidi"/>
              <w:iCs w:val="0"/>
              <w:color w:val="auto"/>
              <w:sz w:val="22"/>
              <w:szCs w:val="22"/>
            </w:rPr>
          </w:pPr>
          <w:hyperlink w:anchor="_Toc109812496" w:history="1">
            <w:r w:rsidR="008A4003" w:rsidRPr="00AB60F2">
              <w:rPr>
                <w:rStyle w:val="Hyperlink"/>
              </w:rPr>
              <w:t>Appendix B:</w:t>
            </w:r>
            <w:r w:rsidR="008A4003">
              <w:rPr>
                <w:rFonts w:asciiTheme="minorHAnsi" w:eastAsiaTheme="minorEastAsia" w:hAnsiTheme="minorHAnsi" w:cstheme="minorBidi"/>
                <w:iCs w:val="0"/>
                <w:color w:val="auto"/>
                <w:sz w:val="22"/>
                <w:szCs w:val="22"/>
              </w:rPr>
              <w:tab/>
            </w:r>
            <w:r w:rsidR="008A4003" w:rsidRPr="00AB60F2">
              <w:rPr>
                <w:rStyle w:val="Hyperlink"/>
              </w:rPr>
              <w:t>Information for Wildfire Smoke Protection</w:t>
            </w:r>
            <w:r w:rsidR="008A4003">
              <w:rPr>
                <w:webHidden/>
              </w:rPr>
              <w:tab/>
            </w:r>
            <w:r w:rsidR="008A4003">
              <w:rPr>
                <w:webHidden/>
              </w:rPr>
              <w:fldChar w:fldCharType="begin"/>
            </w:r>
            <w:r w:rsidR="008A4003">
              <w:rPr>
                <w:webHidden/>
              </w:rPr>
              <w:instrText xml:space="preserve"> PAGEREF _Toc109812496 \h </w:instrText>
            </w:r>
            <w:r w:rsidR="008A4003">
              <w:rPr>
                <w:webHidden/>
              </w:rPr>
            </w:r>
            <w:r w:rsidR="008A4003">
              <w:rPr>
                <w:webHidden/>
              </w:rPr>
              <w:fldChar w:fldCharType="separate"/>
            </w:r>
            <w:r w:rsidR="00B377E9">
              <w:rPr>
                <w:webHidden/>
              </w:rPr>
              <w:t>11</w:t>
            </w:r>
            <w:r w:rsidR="008A4003">
              <w:rPr>
                <w:webHidden/>
              </w:rPr>
              <w:fldChar w:fldCharType="end"/>
            </w:r>
          </w:hyperlink>
        </w:p>
        <w:p w14:paraId="07667734" w14:textId="75C530D3" w:rsidR="008A4003" w:rsidRDefault="006270F9" w:rsidP="00285E75">
          <w:pPr>
            <w:pStyle w:val="TOC1"/>
            <w:ind w:right="576"/>
            <w:rPr>
              <w:rFonts w:asciiTheme="minorHAnsi" w:eastAsiaTheme="minorEastAsia" w:hAnsiTheme="minorHAnsi" w:cstheme="minorBidi"/>
              <w:iCs w:val="0"/>
              <w:color w:val="auto"/>
              <w:sz w:val="22"/>
              <w:szCs w:val="22"/>
            </w:rPr>
          </w:pPr>
          <w:hyperlink w:anchor="_Toc109812497" w:history="1">
            <w:r w:rsidR="008A4003" w:rsidRPr="00AB60F2">
              <w:rPr>
                <w:rStyle w:val="Hyperlink"/>
              </w:rPr>
              <w:t>Historical Notes for Subdivision Z, 437-002-1081</w:t>
            </w:r>
            <w:r w:rsidR="008A4003">
              <w:rPr>
                <w:webHidden/>
              </w:rPr>
              <w:tab/>
            </w:r>
            <w:r w:rsidR="008A4003">
              <w:rPr>
                <w:webHidden/>
              </w:rPr>
              <w:fldChar w:fldCharType="begin"/>
            </w:r>
            <w:r w:rsidR="008A4003">
              <w:rPr>
                <w:webHidden/>
              </w:rPr>
              <w:instrText xml:space="preserve"> PAGEREF _Toc109812497 \h </w:instrText>
            </w:r>
            <w:r w:rsidR="008A4003">
              <w:rPr>
                <w:webHidden/>
              </w:rPr>
            </w:r>
            <w:r w:rsidR="008A4003">
              <w:rPr>
                <w:webHidden/>
              </w:rPr>
              <w:fldChar w:fldCharType="separate"/>
            </w:r>
            <w:r w:rsidR="00B377E9">
              <w:rPr>
                <w:webHidden/>
              </w:rPr>
              <w:t>13</w:t>
            </w:r>
            <w:r w:rsidR="008A4003">
              <w:rPr>
                <w:webHidden/>
              </w:rPr>
              <w:fldChar w:fldCharType="end"/>
            </w:r>
          </w:hyperlink>
        </w:p>
        <w:p w14:paraId="00F7C6EF" w14:textId="77777777" w:rsidR="00D44222" w:rsidRDefault="000F151D" w:rsidP="00285E75">
          <w:pPr>
            <w:pStyle w:val="TOC1"/>
            <w:ind w:right="576"/>
          </w:pPr>
          <w:r>
            <w:fldChar w:fldCharType="end"/>
          </w:r>
        </w:p>
      </w:sdtContent>
    </w:sdt>
    <w:p w14:paraId="3C97656A" w14:textId="3A8D5EA0" w:rsidR="003A3DB6" w:rsidRDefault="003A3DB6" w:rsidP="009D6F58"/>
    <w:p w14:paraId="171A5BE4" w14:textId="23BC7B0D" w:rsidR="00E32DD2" w:rsidRDefault="00FE0C55"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r>
        <w:rPr>
          <w:noProof/>
        </w:rPr>
        <mc:AlternateContent>
          <mc:Choice Requires="wps">
            <w:drawing>
              <wp:anchor distT="0" distB="0" distL="114300" distR="114300" simplePos="0" relativeHeight="251659264" behindDoc="0" locked="0" layoutInCell="1" allowOverlap="1" wp14:anchorId="151D5968" wp14:editId="61AA8AB9">
                <wp:simplePos x="0" y="0"/>
                <wp:positionH relativeFrom="margin">
                  <wp:align>center</wp:align>
                </wp:positionH>
                <wp:positionV relativeFrom="margin">
                  <wp:align>center</wp:align>
                </wp:positionV>
                <wp:extent cx="5857875" cy="1781175"/>
                <wp:effectExtent l="0" t="0" r="28575" b="28575"/>
                <wp:wrapSquare wrapText="bothSides"/>
                <wp:docPr id="795509725" name="Rectangle 1"/>
                <wp:cNvGraphicFramePr/>
                <a:graphic xmlns:a="http://schemas.openxmlformats.org/drawingml/2006/main">
                  <a:graphicData uri="http://schemas.microsoft.com/office/word/2010/wordprocessingShape">
                    <wps:wsp>
                      <wps:cNvSpPr/>
                      <wps:spPr>
                        <a:xfrm>
                          <a:off x="0" y="0"/>
                          <a:ext cx="5857875" cy="17811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70F22BBA" w14:textId="65F29455" w:rsidR="00FE0C55" w:rsidRPr="00FE0C55" w:rsidRDefault="00FE0C55" w:rsidP="00FE0C55">
                            <w:pPr>
                              <w:rPr>
                                <w:rFonts w:ascii="Arial" w:hAnsi="Arial" w:cs="Arial"/>
                              </w:rPr>
                            </w:pPr>
                            <w:bookmarkStart w:id="1" w:name="NOTEAQI"/>
                            <w:r w:rsidRPr="007F3751">
                              <w:rPr>
                                <w:rFonts w:ascii="Arial" w:hAnsi="Arial" w:cs="Arial"/>
                                <w:b/>
                                <w:bCs/>
                              </w:rPr>
                              <w:t>Note</w:t>
                            </w:r>
                            <w:r w:rsidR="007F3751" w:rsidRPr="007F3751">
                              <w:rPr>
                                <w:rFonts w:ascii="Arial" w:hAnsi="Arial" w:cs="Arial"/>
                                <w:b/>
                                <w:bCs/>
                              </w:rPr>
                              <w:t>:</w:t>
                            </w:r>
                            <w:r w:rsidR="007F3751" w:rsidRPr="007F3751">
                              <w:rPr>
                                <w:rFonts w:ascii="Arial" w:hAnsi="Arial" w:cs="Arial"/>
                              </w:rPr>
                              <w:t xml:space="preserve"> </w:t>
                            </w:r>
                            <w:r w:rsidR="007F3751" w:rsidRPr="007F3751">
                              <w:rPr>
                                <w:rFonts w:ascii="Arial" w:hAnsi="Arial" w:cs="Arial"/>
                                <w:i/>
                                <w:iCs/>
                              </w:rPr>
                              <w:t>This note has been added post rule adoption (OAR 437-002-1081) for ease of reference and awareness to readers.</w:t>
                            </w:r>
                            <w:r w:rsidR="007F3751" w:rsidRPr="007F3751">
                              <w:rPr>
                                <w:rFonts w:ascii="Arial" w:hAnsi="Arial" w:cs="Arial"/>
                              </w:rPr>
                              <w:t xml:space="preserve"> The U.S. Environmental Protection Agency (EPA) modified how it reports its Air Quality Index (AQI) in May 2024. This AQI scale update does not affect how exposure to fine particulate matter (PM2.5) from wildfire smoke is measured and does not change how the Oregon OSHA rule functions. The AQI values for mandatory respirator use referenced in this rule have not been revised to account for the EPA's AQI update. Please refer to the technical guidance available at </w:t>
                            </w:r>
                            <w:hyperlink r:id="rId19" w:history="1">
                              <w:r w:rsidR="007F3751" w:rsidRPr="007F3751">
                                <w:rPr>
                                  <w:rStyle w:val="Hyperlink"/>
                                  <w:rFonts w:ascii="Arial" w:hAnsi="Arial" w:cs="Arial"/>
                                </w:rPr>
                                <w:t>https://osha.oregon.gov/OSHARules/interps/TG-2024-01.pdf</w:t>
                              </w:r>
                            </w:hyperlink>
                            <w:r w:rsidR="007F3751" w:rsidRPr="007F3751">
                              <w:rPr>
                                <w:rFonts w:ascii="Arial" w:hAnsi="Arial" w:cs="Arial"/>
                              </w:rPr>
                              <w:t xml:space="preserve"> for a crosswalk between the former and current AQI scales. June</w:t>
                            </w:r>
                            <w:r w:rsidRPr="00FE0C55">
                              <w:rPr>
                                <w:rFonts w:ascii="Arial" w:hAnsi="Arial" w:cs="Arial"/>
                                <w:i/>
                                <w:iCs/>
                                <w:sz w:val="22"/>
                                <w:szCs w:val="22"/>
                              </w:rPr>
                              <w:t xml:space="preserve"> 2024</w:t>
                            </w:r>
                            <w:r w:rsidRPr="00FE0C55">
                              <w:rPr>
                                <w:rFonts w:ascii="Arial" w:hAnsi="Arial" w:cs="Arial"/>
                              </w:rPr>
                              <w:t xml:space="preserve"> </w:t>
                            </w:r>
                            <w:bookmarkEnd w:id="1"/>
                          </w:p>
                          <w:p w14:paraId="60D64F24" w14:textId="77777777" w:rsidR="00FE0C55" w:rsidRDefault="00FE0C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D5968" id="Rectangle 1" o:spid="_x0000_s1026" style="position:absolute;margin-left:0;margin-top:0;width:461.25pt;height:140.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" fillcolor="white [3201]" strokecolor="#e97132 [3205]" strokeweight="2pt">
                <v:textbox>
                  <w:txbxContent>
                    <w:p w14:paraId="70F22BBA" w14:textId="65F29455" w:rsidR="00FE0C55" w:rsidRPr="00FE0C55" w:rsidRDefault="00FE0C55" w:rsidP="00FE0C55">
                      <w:pPr>
                        <w:rPr>
                          <w:rFonts w:ascii="Arial" w:hAnsi="Arial" w:cs="Arial"/>
                        </w:rPr>
                      </w:pPr>
                      <w:bookmarkStart w:id="2" w:name="NOTEAQI"/>
                      <w:r w:rsidRPr="007F3751">
                        <w:rPr>
                          <w:rFonts w:ascii="Arial" w:hAnsi="Arial" w:cs="Arial"/>
                          <w:b/>
                          <w:bCs/>
                        </w:rPr>
                        <w:t>Note</w:t>
                      </w:r>
                      <w:r w:rsidR="007F3751" w:rsidRPr="007F3751">
                        <w:rPr>
                          <w:rFonts w:ascii="Arial" w:hAnsi="Arial" w:cs="Arial"/>
                          <w:b/>
                          <w:bCs/>
                        </w:rPr>
                        <w:t>:</w:t>
                      </w:r>
                      <w:r w:rsidR="007F3751" w:rsidRPr="007F3751">
                        <w:rPr>
                          <w:rFonts w:ascii="Arial" w:hAnsi="Arial" w:cs="Arial"/>
                        </w:rPr>
                        <w:t xml:space="preserve"> </w:t>
                      </w:r>
                      <w:r w:rsidR="007F3751" w:rsidRPr="007F3751">
                        <w:rPr>
                          <w:rFonts w:ascii="Arial" w:hAnsi="Arial" w:cs="Arial"/>
                          <w:i/>
                          <w:iCs/>
                        </w:rPr>
                        <w:t>This note has been added post rule adoption (OAR 437-002-1081) for ease of reference and awareness to readers.</w:t>
                      </w:r>
                      <w:r w:rsidR="007F3751" w:rsidRPr="007F3751">
                        <w:rPr>
                          <w:rFonts w:ascii="Arial" w:hAnsi="Arial" w:cs="Arial"/>
                        </w:rPr>
                        <w:t xml:space="preserve"> The U.S. Environmental Protection Agency (EPA) modified how it reports its Air Quality Index (AQI) in May 2024. This AQI scale update does not affect how exposure to fine particulate matter (PM2.5) from wildfire smoke is measured and does not change how the Oregon OSHA rule functions. The AQI values for mandatory respirator use referenced in this rule have not been revised to account for the EPA's AQI update. Please refer to the technical guidance available at </w:t>
                      </w:r>
                      <w:hyperlink r:id="rId20" w:history="1">
                        <w:r w:rsidR="007F3751" w:rsidRPr="007F3751">
                          <w:rPr>
                            <w:rStyle w:val="Hyperlink"/>
                            <w:rFonts w:ascii="Arial" w:hAnsi="Arial" w:cs="Arial"/>
                          </w:rPr>
                          <w:t>https://osha.oregon.gov/OSHARules/interps/TG-2024-01.pdf</w:t>
                        </w:r>
                      </w:hyperlink>
                      <w:r w:rsidR="007F3751" w:rsidRPr="007F3751">
                        <w:rPr>
                          <w:rFonts w:ascii="Arial" w:hAnsi="Arial" w:cs="Arial"/>
                        </w:rPr>
                        <w:t xml:space="preserve"> for a crosswalk between the former and current AQI scales. June</w:t>
                      </w:r>
                      <w:r w:rsidRPr="00FE0C55">
                        <w:rPr>
                          <w:rFonts w:ascii="Arial" w:hAnsi="Arial" w:cs="Arial"/>
                          <w:i/>
                          <w:iCs/>
                          <w:sz w:val="22"/>
                          <w:szCs w:val="22"/>
                        </w:rPr>
                        <w:t xml:space="preserve"> 2024</w:t>
                      </w:r>
                      <w:r w:rsidRPr="00FE0C55">
                        <w:rPr>
                          <w:rFonts w:ascii="Arial" w:hAnsi="Arial" w:cs="Arial"/>
                        </w:rPr>
                        <w:t xml:space="preserve"> </w:t>
                      </w:r>
                      <w:bookmarkEnd w:id="2"/>
                    </w:p>
                    <w:p w14:paraId="60D64F24" w14:textId="77777777" w:rsidR="00FE0C55" w:rsidRDefault="00FE0C55"/>
                  </w:txbxContent>
                </v:textbox>
                <w10:wrap type="square" anchorx="margin" anchory="margin"/>
              </v:rect>
            </w:pict>
          </mc:Fallback>
        </mc:AlternateContent>
      </w:r>
    </w:p>
    <w:p w14:paraId="69440A99" w14:textId="1B8745CD" w:rsidR="00BE02B6" w:rsidRPr="00CD315C" w:rsidRDefault="006270F9" w:rsidP="00CD315C">
      <w:pPr>
        <w:pStyle w:val="Heading1"/>
      </w:pPr>
      <w:bookmarkStart w:id="3" w:name="_Toc109812494"/>
      <w:r>
        <w:rPr>
          <w:noProof/>
        </w:rPr>
        <w:lastRenderedPageBreak/>
        <mc:AlternateContent>
          <mc:Choice Requires="wps">
            <w:drawing>
              <wp:anchor distT="0" distB="0" distL="114300" distR="114300" simplePos="0" relativeHeight="251661312" behindDoc="1" locked="0" layoutInCell="1" allowOverlap="1" wp14:anchorId="2F8D8A36" wp14:editId="47FEA5A4">
                <wp:simplePos x="0" y="0"/>
                <wp:positionH relativeFrom="margin">
                  <wp:align>right</wp:align>
                </wp:positionH>
                <wp:positionV relativeFrom="line">
                  <wp:align>center</wp:align>
                </wp:positionV>
                <wp:extent cx="2028825" cy="247650"/>
                <wp:effectExtent l="0" t="0" r="28575" b="19050"/>
                <wp:wrapNone/>
                <wp:docPr id="1016889866" name="Rectangle: Rounded Corners 2">
                  <a:hlinkClick xmlns:a="http://schemas.openxmlformats.org/drawingml/2006/main" r:id="rId21"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chemeClr val="accent6">
                                <a:lumMod val="60000"/>
                                <a:lumOff val="40000"/>
                              </a:schemeClr>
                            </a:gs>
                            <a:gs pos="48000">
                              <a:schemeClr val="accent6">
                                <a:lumMod val="40000"/>
                                <a:lumOff val="60000"/>
                              </a:schemeClr>
                            </a:gs>
                            <a:gs pos="100000">
                              <a:schemeClr val="accent6">
                                <a:lumMod val="20000"/>
                                <a:lumOff val="80000"/>
                              </a:schemeClr>
                            </a:gs>
                          </a:gsLst>
                          <a:lin ang="16200000" scaled="1"/>
                          <a:tileRect/>
                        </a:gradFill>
                        <a:ln w="12700">
                          <a:solidFill>
                            <a:schemeClr val="accent3"/>
                          </a:solidFill>
                        </a:ln>
                      </wps:spPr>
                      <wps:style>
                        <a:lnRef idx="0">
                          <a:scrgbClr r="0" g="0" b="0"/>
                        </a:lnRef>
                        <a:fillRef idx="0">
                          <a:scrgbClr r="0" g="0" b="0"/>
                        </a:fillRef>
                        <a:effectRef idx="0">
                          <a:scrgbClr r="0" g="0" b="0"/>
                        </a:effectRef>
                        <a:fontRef idx="minor">
                          <a:schemeClr val="lt1"/>
                        </a:fontRef>
                      </wps:style>
                      <wps:txbx>
                        <w:txbxContent>
                          <w:p w14:paraId="3E8BFD75"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D8A36" id="Rectangle: Rounded Corners 2" o:spid="_x0000_s1027" href="#NOTEAQI" title="Link to note about AQI index changes" style="position:absolute;margin-left:108.55pt;margin-top:0;width:159.75pt;height:19.5pt;z-index:-25165516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" o:button="t" fillcolor="#8dd873 [1945]" strokecolor="#196b24 [3206]" strokeweight="1pt">
                <v:fill color2="#d9f2d0 [665]" rotate="t" o:detectmouseclick="t" angle="180" colors="0 #8ed973;31457f #b4e5a2;1 #d9f2d0" focus="100%" type="gradient"/>
                <v:textbox inset="2.16pt,2.16pt,2.16pt,1.44pt">
                  <w:txbxContent>
                    <w:p w14:paraId="3E8BFD75"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v:textbox>
                <w10:wrap anchorx="margin" anchory="line"/>
              </v:roundrect>
            </w:pict>
          </mc:Fallback>
        </mc:AlternateContent>
      </w:r>
      <w:r w:rsidR="00BE02B6" w:rsidRPr="00CD315C">
        <w:t>437-002-1081</w:t>
      </w:r>
      <w:r w:rsidR="00BE02B6" w:rsidRPr="00CD315C">
        <w:tab/>
        <w:t>Protection from Wildfire Smoke</w:t>
      </w:r>
      <w:bookmarkEnd w:id="3"/>
      <w:r w:rsidR="00BE02B6" w:rsidRPr="00CD315C">
        <w:t xml:space="preserve"> </w:t>
      </w:r>
    </w:p>
    <w:p w14:paraId="72578870" w14:textId="3ED850B0" w:rsidR="00BE02B6" w:rsidRPr="00E63785" w:rsidRDefault="00BE02B6" w:rsidP="00BE02B6">
      <w:pPr>
        <w:rPr>
          <w:rStyle w:val="Notes"/>
        </w:rPr>
      </w:pPr>
      <w:r w:rsidRPr="00E63785">
        <w:rPr>
          <w:rStyle w:val="Notes"/>
          <w:b/>
        </w:rPr>
        <w:t>Note:</w:t>
      </w:r>
      <w:r w:rsidRPr="00E63785">
        <w:rPr>
          <w:rStyle w:val="Notes"/>
        </w:rPr>
        <w:t xml:space="preserve"> Oregon OSHA recognizes that occupational wildfire smoke exposures can occur in particularly dynamic situations. Employers must address such hazards based on the information available to them through the exercise of reasonable diligence.</w:t>
      </w:r>
      <w:r w:rsidR="00FE0C55">
        <w:rPr>
          <w:rStyle w:val="Notes"/>
        </w:rPr>
        <w:t xml:space="preserve"> </w:t>
      </w:r>
    </w:p>
    <w:p w14:paraId="231A305E" w14:textId="77777777" w:rsidR="00BE02B6" w:rsidRDefault="00BE02B6" w:rsidP="00E63785">
      <w:pPr>
        <w:pStyle w:val="List"/>
      </w:pPr>
      <w:r>
        <w:t>(1)</w:t>
      </w:r>
      <w:r w:rsidR="00E63785">
        <w:tab/>
      </w:r>
      <w:r>
        <w:t>Scope and application. This standard applies to public and private sector employers whose employees are or will be exposed to wildfire smoke where the ambient air concentration for fine particulate matter (PM2.5) is at or above 35.5 µg/m</w:t>
      </w:r>
      <w:r w:rsidRPr="007850FE">
        <w:rPr>
          <w:vertAlign w:val="superscript"/>
        </w:rPr>
        <w:t>3</w:t>
      </w:r>
      <w:r>
        <w:t xml:space="preserve"> (Air Quality Index value of 101 for PM2.5). </w:t>
      </w:r>
    </w:p>
    <w:p w14:paraId="3EBE4D68" w14:textId="77777777" w:rsidR="00BE02B6" w:rsidRDefault="00BE02B6" w:rsidP="00E63785">
      <w:pPr>
        <w:pStyle w:val="List2"/>
      </w:pPr>
      <w:r>
        <w:t>(a</w:t>
      </w:r>
      <w:r w:rsidR="00E63785">
        <w:t>)</w:t>
      </w:r>
      <w:r w:rsidR="00E63785">
        <w:tab/>
      </w:r>
      <w:r>
        <w:t>The following workplaces and operations are exempt from this standard:</w:t>
      </w:r>
    </w:p>
    <w:p w14:paraId="25AC5EA8" w14:textId="77777777" w:rsidR="00BE02B6" w:rsidRDefault="00BE02B6" w:rsidP="00E63785">
      <w:pPr>
        <w:pStyle w:val="List3"/>
      </w:pPr>
      <w:r>
        <w:t>(A</w:t>
      </w:r>
      <w:r w:rsidR="00E63785">
        <w:t>)</w:t>
      </w:r>
      <w:r w:rsidR="00E63785">
        <w:tab/>
      </w:r>
      <w:r>
        <w:t xml:space="preserve">Enclosed buildings and structures in which the air is filtered by a mechanical ventilation system and the employer ensures that windows, doors, bays, and other exterior openings are kept closed, except when it is necessary to briefly open doors to enter or exit; </w:t>
      </w:r>
    </w:p>
    <w:p w14:paraId="60B81EA2" w14:textId="77777777" w:rsidR="00BE02B6" w:rsidRDefault="00BE02B6" w:rsidP="00E63785">
      <w:pPr>
        <w:pStyle w:val="List3"/>
      </w:pPr>
      <w:r>
        <w:t>(B</w:t>
      </w:r>
      <w:r w:rsidR="00E63785">
        <w:t>)</w:t>
      </w:r>
      <w:r w:rsidR="00E63785">
        <w:tab/>
      </w:r>
      <w:r>
        <w:t>Enclosed vehicles in which the air is filtered by a properly maintained cabin air filter system, and when the windows, doors, and other exterior openings are kept closed, except when it is necessary to briefly open doors to enter or exit. Buses, light rails, and other enclosed vehicles used for public transit systems where doors are frequently opened to board and deboard passengers are not included under this exemption;</w:t>
      </w:r>
    </w:p>
    <w:p w14:paraId="127C1142" w14:textId="77777777" w:rsidR="00BE02B6" w:rsidRDefault="00BE02B6" w:rsidP="00E63785">
      <w:pPr>
        <w:pStyle w:val="List3"/>
      </w:pPr>
      <w:r>
        <w:t>(C</w:t>
      </w:r>
      <w:r w:rsidR="00E63785">
        <w:t>)</w:t>
      </w:r>
      <w:r w:rsidR="00E63785">
        <w:tab/>
      </w:r>
      <w:r>
        <w:t>When the employer predetermines that operations will be suspended to prevent employee exposure to wildfire smoke at an ambient air concentration for PM2.5 of 35.5 µg/m</w:t>
      </w:r>
      <w:r w:rsidRPr="007850FE">
        <w:rPr>
          <w:vertAlign w:val="superscript"/>
        </w:rPr>
        <w:t>3</w:t>
      </w:r>
      <w:r>
        <w:t xml:space="preserve"> (AQI 101) or higher; and</w:t>
      </w:r>
    </w:p>
    <w:p w14:paraId="3CAED3BD" w14:textId="77777777" w:rsidR="00BE02B6" w:rsidRDefault="00BE02B6" w:rsidP="00E63785">
      <w:pPr>
        <w:pStyle w:val="List3"/>
      </w:pPr>
      <w:r>
        <w:t>(D</w:t>
      </w:r>
      <w:r w:rsidR="00E63785">
        <w:t>)</w:t>
      </w:r>
      <w:r w:rsidR="00E63785">
        <w:tab/>
      </w:r>
      <w:r>
        <w:t>Employees working at home.</w:t>
      </w:r>
    </w:p>
    <w:p w14:paraId="19FDCD6F" w14:textId="77777777" w:rsidR="00BE02B6" w:rsidRDefault="00BE02B6" w:rsidP="00E63785">
      <w:pPr>
        <w:pStyle w:val="List2"/>
      </w:pPr>
      <w:r>
        <w:t>(b</w:t>
      </w:r>
      <w:r w:rsidR="00E63785">
        <w:t>)</w:t>
      </w:r>
      <w:r w:rsidR="00E63785">
        <w:tab/>
      </w:r>
      <w:r>
        <w:t>The following workplaces and operations are only subject to subsections (4)(a) through (4)(g) “information and training,” and subsection (7)(b) “voluntary use of filtering facepiece respirators” under this standard:</w:t>
      </w:r>
    </w:p>
    <w:p w14:paraId="38BED1A6" w14:textId="77777777" w:rsidR="00BE02B6" w:rsidRDefault="00BE02B6" w:rsidP="00E63785">
      <w:pPr>
        <w:pStyle w:val="List3"/>
      </w:pPr>
      <w:r>
        <w:t>(A</w:t>
      </w:r>
      <w:r w:rsidR="00E63785">
        <w:t>)</w:t>
      </w:r>
      <w:r w:rsidR="00E63785">
        <w:tab/>
      </w:r>
      <w:r>
        <w:t>Wildland firefighting and associated support activities such as fire camp services and fire management;</w:t>
      </w:r>
    </w:p>
    <w:p w14:paraId="0B7D9B3C" w14:textId="77777777" w:rsidR="00BE02B6" w:rsidRDefault="00BE02B6" w:rsidP="00E63785">
      <w:pPr>
        <w:pStyle w:val="List3"/>
      </w:pPr>
      <w:r>
        <w:t>(B</w:t>
      </w:r>
      <w:r w:rsidR="00E63785">
        <w:t>)</w:t>
      </w:r>
      <w:r w:rsidR="00E63785">
        <w:tab/>
      </w:r>
      <w:r>
        <w:t>Emergency operations that are directly involved in the protection of life or property, public safety power shutoffs, or restoration of essential services, such as evacuation, rescue, medical, structural firefighting, law enforcement, utilities, and communications; and</w:t>
      </w:r>
    </w:p>
    <w:p w14:paraId="6CB8FCAC" w14:textId="77777777" w:rsidR="00BE02B6" w:rsidRDefault="00BE02B6" w:rsidP="00E63785">
      <w:pPr>
        <w:pStyle w:val="List3"/>
      </w:pPr>
      <w:r>
        <w:lastRenderedPageBreak/>
        <w:t>(C</w:t>
      </w:r>
      <w:r w:rsidR="00E63785">
        <w:t>)</w:t>
      </w:r>
      <w:r w:rsidR="00E63785">
        <w:tab/>
      </w:r>
      <w:r>
        <w:t>Work activities involving only intermittent employee exposure of less than 15 minutes in an hour to an ambient air concentration for PM2.5 at or above 35.5 µg/m</w:t>
      </w:r>
      <w:r w:rsidRPr="007850FE">
        <w:rPr>
          <w:vertAlign w:val="superscript"/>
        </w:rPr>
        <w:t>3</w:t>
      </w:r>
      <w:r>
        <w:t xml:space="preserve"> (AQI 101) for a total exposure of less than one hour in a single 24-hour period. </w:t>
      </w:r>
    </w:p>
    <w:p w14:paraId="0FC25550" w14:textId="77777777" w:rsidR="00BE02B6" w:rsidRDefault="00BE02B6" w:rsidP="00E63785">
      <w:pPr>
        <w:pStyle w:val="List"/>
      </w:pPr>
      <w:r>
        <w:t>(2</w:t>
      </w:r>
      <w:r w:rsidR="00E63785">
        <w:t>)</w:t>
      </w:r>
      <w:r w:rsidR="00E63785">
        <w:tab/>
      </w:r>
      <w:r>
        <w:t>Definitions.</w:t>
      </w:r>
    </w:p>
    <w:p w14:paraId="2D4F973C" w14:textId="77777777" w:rsidR="00BE02B6" w:rsidRDefault="00BE02B6" w:rsidP="00E63785">
      <w:pPr>
        <w:pStyle w:val="List2"/>
      </w:pPr>
      <w:r>
        <w:t>(a</w:t>
      </w:r>
      <w:r w:rsidR="00E63785">
        <w:t>)</w:t>
      </w:r>
      <w:r w:rsidR="00E63785">
        <w:tab/>
      </w:r>
      <w:r w:rsidRPr="008408C3">
        <w:rPr>
          <w:b/>
        </w:rPr>
        <w:t>Air Quality Index</w:t>
      </w:r>
      <w:r>
        <w:t xml:space="preserve"> – The Air Quality Index (AQI) was developed by the U.S. Environmental Protection Agency (EPA) as an indicator of overall air quality and is based on the five criteria pollutants regulated under the Clean Air Act: ground-level ozone, particulate matter, carbon monoxide, sulfur dioxide, and nitrogen dioxide. </w:t>
      </w:r>
    </w:p>
    <w:p w14:paraId="6169A2F9" w14:textId="77777777" w:rsidR="00BE02B6" w:rsidRDefault="00BE02B6" w:rsidP="00E63785">
      <w:pPr>
        <w:pStyle w:val="List2"/>
      </w:pPr>
      <w:r>
        <w:t>(b</w:t>
      </w:r>
      <w:r w:rsidR="00E63785">
        <w:t>)</w:t>
      </w:r>
      <w:r w:rsidR="00E63785">
        <w:tab/>
      </w:r>
      <w:r w:rsidRPr="008408C3">
        <w:rPr>
          <w:b/>
        </w:rPr>
        <w:t>NIOSH</w:t>
      </w:r>
      <w:r>
        <w:t xml:space="preserve"> – The National Institute for Occupational Safety and Health of the United States Centers for Disease Control and Prevention. NIOSH tests and approves respirators for use in the workplace.</w:t>
      </w:r>
    </w:p>
    <w:p w14:paraId="2C9E23EB" w14:textId="77777777" w:rsidR="00BE02B6" w:rsidRDefault="00BE02B6" w:rsidP="00E63785">
      <w:pPr>
        <w:pStyle w:val="List2"/>
      </w:pPr>
      <w:r>
        <w:t>(c</w:t>
      </w:r>
      <w:r w:rsidR="00E63785">
        <w:t>)</w:t>
      </w:r>
      <w:r w:rsidR="00E63785">
        <w:tab/>
      </w:r>
      <w:r w:rsidRPr="008408C3">
        <w:rPr>
          <w:b/>
        </w:rPr>
        <w:t>PM2.5</w:t>
      </w:r>
      <w:r>
        <w:t xml:space="preserve"> – Solid particles and liquid droplets suspended in air, known as fine particulate matter, with an aerodynamic diameter of 2.5 micrometers or smaller and measured in micrograms per cubic meter (µg/m</w:t>
      </w:r>
      <w:r w:rsidRPr="007850FE">
        <w:rPr>
          <w:vertAlign w:val="superscript"/>
        </w:rPr>
        <w:t>3</w:t>
      </w:r>
      <w:r>
        <w:t>).</w:t>
      </w:r>
    </w:p>
    <w:p w14:paraId="49D4B2B5" w14:textId="77777777" w:rsidR="00BE02B6" w:rsidRDefault="00BE02B6" w:rsidP="00E63785">
      <w:pPr>
        <w:pStyle w:val="List2"/>
      </w:pPr>
      <w:r>
        <w:t>(d</w:t>
      </w:r>
      <w:r w:rsidR="00E63785">
        <w:t>)</w:t>
      </w:r>
      <w:r w:rsidR="00E63785">
        <w:tab/>
      </w:r>
      <w:r w:rsidRPr="008408C3">
        <w:rPr>
          <w:b/>
        </w:rPr>
        <w:t>Sensitive groups</w:t>
      </w:r>
      <w:r>
        <w:t xml:space="preserve"> – Individuals with pre-existing health conditions and those who are sensitive to air pollution who are among those likely to experience health problems from exposure to wildfire smoke. Examples of sensitive groups include: people with lung disease such as asthma or chronic obstructive pulmonary disease (COPD), including bronchitis and emphysema, and those who smoke; people with respiratory infections, such as pneumonia, acute bronchitis, bronchiolitis, cold, flu, or those recovering from severe respiratory illness; people with existing heart or circulatory problems, such as irregular heart beat, congestive heart failure, coronary artery disease, angina, and those who have had a heart attack or stroke; children under 18 years old, and adults over age 65; pregnant women; people with diabetes; and people with other medical or health conditions which can be exacerbated by exposure to wildfire smoke as determined by a physician or other licensed healthcare provider.</w:t>
      </w:r>
    </w:p>
    <w:p w14:paraId="7FD89667" w14:textId="77777777" w:rsidR="00BE02B6" w:rsidRDefault="00BE02B6" w:rsidP="00E63785">
      <w:pPr>
        <w:pStyle w:val="List2"/>
      </w:pPr>
      <w:r>
        <w:t>(e</w:t>
      </w:r>
      <w:r w:rsidR="00E63785">
        <w:t>)</w:t>
      </w:r>
      <w:r w:rsidR="00E63785">
        <w:tab/>
      </w:r>
      <w:r w:rsidRPr="008408C3">
        <w:rPr>
          <w:b/>
        </w:rPr>
        <w:t>Wildfire smoke</w:t>
      </w:r>
      <w:r>
        <w:t xml:space="preserve"> – Emissions from unplanned fires in wildlands, which may include adjacent developed and cultivated areas to which the fire spreads or from where it originates.</w:t>
      </w:r>
    </w:p>
    <w:p w14:paraId="330EE6A7" w14:textId="77777777" w:rsidR="00BE02B6" w:rsidRDefault="00BE02B6" w:rsidP="00E63785">
      <w:pPr>
        <w:pStyle w:val="List2"/>
      </w:pPr>
      <w:r>
        <w:t>(f</w:t>
      </w:r>
      <w:r w:rsidR="00E63785">
        <w:t>)</w:t>
      </w:r>
      <w:r w:rsidR="00E63785">
        <w:tab/>
      </w:r>
      <w:r w:rsidRPr="008408C3">
        <w:rPr>
          <w:b/>
        </w:rPr>
        <w:t>Wildlands</w:t>
      </w:r>
      <w:r>
        <w:t xml:space="preserve"> – Uncultivated and sparsely populated geographical areas covered primarily by grass, brush, trees, slash, or a combination thereof.</w:t>
      </w:r>
    </w:p>
    <w:p w14:paraId="5DB36A9C" w14:textId="77777777" w:rsidR="00BE02B6" w:rsidRDefault="00BE02B6" w:rsidP="00E63785">
      <w:pPr>
        <w:pStyle w:val="List"/>
      </w:pPr>
      <w:r>
        <w:lastRenderedPageBreak/>
        <w:t>(3</w:t>
      </w:r>
      <w:r w:rsidR="00E63785">
        <w:t>)</w:t>
      </w:r>
      <w:r w:rsidR="00E63785">
        <w:tab/>
      </w:r>
      <w:r>
        <w:t>Exposure assessment. Monitor employee exposure to wildfire smoke when employees are, or are likely to be, exposed to an ambient air concentration for PM2.5 at or above 35.5 µg/m</w:t>
      </w:r>
      <w:r w:rsidRPr="007850FE">
        <w:rPr>
          <w:vertAlign w:val="superscript"/>
        </w:rPr>
        <w:t>3</w:t>
      </w:r>
      <w:r>
        <w:t xml:space="preserve"> (AQI 101). This monitoring must be performed at the start of each shift, and as needed, to comply with the applicable requirements of sections (6) and (7) of this standard, by using one or more of the following methods:</w:t>
      </w:r>
    </w:p>
    <w:p w14:paraId="470DC9A0" w14:textId="77777777" w:rsidR="00BE02B6" w:rsidRDefault="00BE02B6" w:rsidP="00E63785">
      <w:pPr>
        <w:pStyle w:val="List2"/>
      </w:pPr>
      <w:r>
        <w:t>(a</w:t>
      </w:r>
      <w:r w:rsidR="00E63785">
        <w:t>)</w:t>
      </w:r>
      <w:r w:rsidR="00E63785">
        <w:tab/>
      </w:r>
      <w:r>
        <w:t xml:space="preserve">Check the current average and forecasted AQI value for PM2.5 from the Oregon Department of Environmental Quality, U.S. EPA </w:t>
      </w:r>
      <w:proofErr w:type="spellStart"/>
      <w:r>
        <w:t>AirNow</w:t>
      </w:r>
      <w:proofErr w:type="spellEnd"/>
      <w:r>
        <w:t xml:space="preserve"> or Interagency Wildland Fire Air Quality Response Program websites, or equivalent source;  </w:t>
      </w:r>
    </w:p>
    <w:p w14:paraId="76FCC8A0" w14:textId="77777777" w:rsidR="00BE02B6" w:rsidRDefault="00BE02B6" w:rsidP="00E63785">
      <w:pPr>
        <w:pStyle w:val="List2"/>
      </w:pPr>
      <w:r>
        <w:t>(b</w:t>
      </w:r>
      <w:r w:rsidR="00E63785">
        <w:t>)</w:t>
      </w:r>
      <w:r w:rsidR="00E63785">
        <w:tab/>
      </w:r>
      <w:r>
        <w:t>Check notifications of air quality advisories due to wildfire smoke issued by the Oregon Department of Environmental Quality or local government health agencies;</w:t>
      </w:r>
    </w:p>
    <w:p w14:paraId="5AA9A998" w14:textId="77777777" w:rsidR="00BE02B6" w:rsidRDefault="00BE02B6" w:rsidP="00E63785">
      <w:pPr>
        <w:pStyle w:val="List2"/>
      </w:pPr>
      <w:r>
        <w:t>(c</w:t>
      </w:r>
      <w:r w:rsidR="00E63785">
        <w:t>)</w:t>
      </w:r>
      <w:r w:rsidR="00E63785">
        <w:tab/>
      </w:r>
      <w:r>
        <w:t>Directly measure workplace ambient air concentration for PM2.5 in accordance with the testing device manufacturer’s user instructions; or</w:t>
      </w:r>
    </w:p>
    <w:p w14:paraId="39DC15A5" w14:textId="77777777" w:rsidR="00BE02B6" w:rsidRDefault="00BE02B6" w:rsidP="00E63785">
      <w:pPr>
        <w:pStyle w:val="List2"/>
      </w:pPr>
      <w:r>
        <w:t>(d</w:t>
      </w:r>
      <w:r w:rsidR="00E63785">
        <w:t>)</w:t>
      </w:r>
      <w:r w:rsidR="00E63785">
        <w:tab/>
      </w:r>
      <w:r>
        <w:t>If the employer determines and can demonstrate that none of the methods in subsections (3)(a) through (3)(c) of this standard are available for their work location, the employer can then use the 5-3-1 Visibility Index provided in Appendix B, Table 1 of this standard to estimate the current air concentration for PM2.5, and equivalent AQI value, during daylight hours.</w:t>
      </w:r>
    </w:p>
    <w:p w14:paraId="4B372439" w14:textId="77777777" w:rsidR="008408C3" w:rsidRDefault="008408C3" w:rsidP="00E63785">
      <w:pPr>
        <w:pStyle w:val="List"/>
        <w:sectPr w:rsidR="008408C3" w:rsidSect="006270F9">
          <w:footerReference w:type="even" r:id="rId22"/>
          <w:footerReference w:type="default" r:id="rId23"/>
          <w:footerReference w:type="first" r:id="rId24"/>
          <w:endnotePr>
            <w:numFmt w:val="decimal"/>
          </w:endnotePr>
          <w:type w:val="oddPage"/>
          <w:pgSz w:w="12240" w:h="15840" w:code="1"/>
          <w:pgMar w:top="1440" w:right="864" w:bottom="1440" w:left="1440" w:header="720" w:footer="720" w:gutter="0"/>
          <w:cols w:space="720"/>
          <w:titlePg/>
          <w:docGrid w:linePitch="360"/>
        </w:sectPr>
      </w:pPr>
    </w:p>
    <w:p w14:paraId="1D756AE9" w14:textId="77777777" w:rsidR="00BE02B6" w:rsidRDefault="00BE02B6" w:rsidP="00E63785">
      <w:pPr>
        <w:pStyle w:val="List"/>
      </w:pPr>
      <w:r>
        <w:t>(4</w:t>
      </w:r>
      <w:r w:rsidR="00E63785">
        <w:t>)</w:t>
      </w:r>
      <w:r w:rsidR="00E63785">
        <w:tab/>
      </w:r>
      <w:r>
        <w:t>Information and training. Provide wildfire smoke training to all employees, including new employees, supervisory and non-supervisory employees, who may be exposed to an ambient air concentration for PM2.5 at or above 35.5 µg/m</w:t>
      </w:r>
      <w:r w:rsidRPr="007850FE">
        <w:rPr>
          <w:vertAlign w:val="superscript"/>
        </w:rPr>
        <w:t>3</w:t>
      </w:r>
      <w:r>
        <w:t xml:space="preserve"> (AQI 101). The training must be provided annually before employees are exposed in a language and vocabulary readily understood, and in a manner that facilitates employee feedback. The training must include at least the following information:</w:t>
      </w:r>
    </w:p>
    <w:p w14:paraId="3C933C12" w14:textId="77777777" w:rsidR="00BE02B6" w:rsidRDefault="00BE02B6" w:rsidP="00E63785">
      <w:pPr>
        <w:pStyle w:val="List2"/>
      </w:pPr>
      <w:r>
        <w:t>(a</w:t>
      </w:r>
      <w:r w:rsidR="00E63785">
        <w:t>)</w:t>
      </w:r>
      <w:r w:rsidR="00E63785">
        <w:tab/>
      </w:r>
      <w:r>
        <w:t>The symptoms of wildfire smoke exposure:</w:t>
      </w:r>
    </w:p>
    <w:p w14:paraId="777446B1" w14:textId="77777777" w:rsidR="00BE02B6" w:rsidRDefault="00BE02B6" w:rsidP="00E63785">
      <w:pPr>
        <w:pStyle w:val="List3"/>
      </w:pPr>
      <w:r>
        <w:t>(A</w:t>
      </w:r>
      <w:r w:rsidR="00E63785">
        <w:t>)</w:t>
      </w:r>
      <w:r w:rsidR="00E63785">
        <w:tab/>
      </w:r>
      <w:r>
        <w:t>Eyes: burning sensations, redness, and tearing of the eyes caused by irritation and inflammation of the eyes that can temporarily impair one’s vision;</w:t>
      </w:r>
    </w:p>
    <w:p w14:paraId="42C8F16E" w14:textId="77777777" w:rsidR="00BE02B6" w:rsidRDefault="00BE02B6" w:rsidP="00E63785">
      <w:pPr>
        <w:pStyle w:val="List3"/>
      </w:pPr>
      <w:r>
        <w:t>(B</w:t>
      </w:r>
      <w:r w:rsidR="00E63785">
        <w:t>)</w:t>
      </w:r>
      <w:r w:rsidR="00E63785">
        <w:tab/>
      </w:r>
      <w:r>
        <w:t>Respiratory system: runny nose, sore throat, cough, difficulty breathing, sinus irritation, wheezing, shortness of breath; and</w:t>
      </w:r>
    </w:p>
    <w:p w14:paraId="31E2EFFD" w14:textId="77777777" w:rsidR="00BE02B6" w:rsidRDefault="00BE02B6" w:rsidP="00E63785">
      <w:pPr>
        <w:pStyle w:val="List3"/>
      </w:pPr>
      <w:r>
        <w:t>(C</w:t>
      </w:r>
      <w:r w:rsidR="00E63785">
        <w:t>)</w:t>
      </w:r>
      <w:r w:rsidR="00E63785">
        <w:tab/>
      </w:r>
      <w:r>
        <w:t>Fatigue, headache, irregular heartbeat, chest pain.</w:t>
      </w:r>
    </w:p>
    <w:p w14:paraId="6A1D8D62" w14:textId="77777777" w:rsidR="00BE02B6" w:rsidRDefault="00BE02B6" w:rsidP="00E63785">
      <w:pPr>
        <w:pStyle w:val="List2"/>
      </w:pPr>
      <w:r>
        <w:lastRenderedPageBreak/>
        <w:t>(b</w:t>
      </w:r>
      <w:r w:rsidR="00E63785">
        <w:t>)</w:t>
      </w:r>
      <w:r w:rsidR="00E63785">
        <w:tab/>
      </w:r>
      <w:r>
        <w:t>The potential acute and chronic health effects from wildfire smoke exposure, including increased health risks to “sensitive groups” as defined in subsection (2)(d) of this standard, and how chronic exposures can increase the risk of cardiovascular disease and can exacerbate an individual’s asthma;</w:t>
      </w:r>
    </w:p>
    <w:p w14:paraId="0AC5C597" w14:textId="77777777" w:rsidR="00BE02B6" w:rsidRDefault="00BE02B6" w:rsidP="00E63785">
      <w:pPr>
        <w:pStyle w:val="List2"/>
      </w:pPr>
      <w:r>
        <w:t>(c</w:t>
      </w:r>
      <w:r w:rsidR="00E63785">
        <w:t>)</w:t>
      </w:r>
      <w:r w:rsidR="00E63785">
        <w:tab/>
      </w:r>
      <w:r>
        <w:t>Each employee’s right to report health issues related to wildfire smoke exposure and obtain medical treatment for such workplace exposures without fear of retaliation;</w:t>
      </w:r>
    </w:p>
    <w:p w14:paraId="6039F54A" w14:textId="77777777" w:rsidR="00BE02B6" w:rsidRDefault="00BE02B6" w:rsidP="00E63785">
      <w:pPr>
        <w:pStyle w:val="List2"/>
      </w:pPr>
      <w:r>
        <w:t>(d</w:t>
      </w:r>
      <w:r w:rsidR="00E63785">
        <w:t>)</w:t>
      </w:r>
      <w:r w:rsidR="00E63785">
        <w:tab/>
      </w:r>
      <w:r>
        <w:t xml:space="preserve">How employees can obtain the current average and forecasted ambient air concentration for PM2.5 and equivalent AQI value for their work location; </w:t>
      </w:r>
    </w:p>
    <w:p w14:paraId="2A840402" w14:textId="77777777" w:rsidR="00BE02B6" w:rsidRDefault="00BE02B6" w:rsidP="00E63785">
      <w:pPr>
        <w:pStyle w:val="List2"/>
      </w:pPr>
      <w:r>
        <w:t>(e</w:t>
      </w:r>
      <w:r w:rsidR="00E63785">
        <w:t>)</w:t>
      </w:r>
      <w:r w:rsidR="00E63785">
        <w:tab/>
      </w:r>
      <w:r>
        <w:t xml:space="preserve">The importance, limitations, and benefits of using a filtering facepiece respirator, that is provided by the employer at no cost to the employee to reduce exposure to wildfire smoke, and how to use and maintain their filtering facepiece respirator; </w:t>
      </w:r>
    </w:p>
    <w:p w14:paraId="259A7853" w14:textId="77777777" w:rsidR="00BE02B6" w:rsidRDefault="00BE02B6" w:rsidP="00E63785">
      <w:pPr>
        <w:pStyle w:val="List2"/>
      </w:pPr>
      <w:r>
        <w:t>(f</w:t>
      </w:r>
      <w:r w:rsidR="00E63785">
        <w:t>)</w:t>
      </w:r>
      <w:r w:rsidR="00E63785">
        <w:tab/>
      </w:r>
      <w:r>
        <w:t>The employer's methods to protect employees from wildfire smoke as required by section (7) of this standard, including how filtering facepiece respirators are required to be made readily accessible to employees for voluntary use when workplace ambient air concentration for PM2.5 is at or above 35.5 µg/m</w:t>
      </w:r>
      <w:r w:rsidRPr="007850FE">
        <w:rPr>
          <w:vertAlign w:val="superscript"/>
        </w:rPr>
        <w:t>3</w:t>
      </w:r>
      <w:r>
        <w:t xml:space="preserve"> (AQI 101), and how employees can obtain such respirators before exposure and replace them when needed;</w:t>
      </w:r>
    </w:p>
    <w:p w14:paraId="3206D973" w14:textId="77777777" w:rsidR="00BE02B6" w:rsidRDefault="00BE02B6" w:rsidP="00E63785">
      <w:pPr>
        <w:pStyle w:val="List2"/>
      </w:pPr>
      <w:r>
        <w:t>(g</w:t>
      </w:r>
      <w:r w:rsidR="00E63785">
        <w:t>)</w:t>
      </w:r>
      <w:r w:rsidR="00E63785">
        <w:tab/>
      </w:r>
      <w:r>
        <w:t>Review of any job tasks performed by employees that the use of a filtering facepiece respirator would expose the wearer to a hazard associated with a substantially more serious injury or illness than the potential acute health effects of wildfire smoke exposure, and must not be used when performing such tasks;</w:t>
      </w:r>
    </w:p>
    <w:p w14:paraId="4BD0EDB0" w14:textId="77777777" w:rsidR="00BE02B6" w:rsidRDefault="00BE02B6" w:rsidP="00E63785">
      <w:pPr>
        <w:pStyle w:val="List2"/>
      </w:pPr>
      <w:r>
        <w:t>(h</w:t>
      </w:r>
      <w:r w:rsidR="00E63785">
        <w:t>)</w:t>
      </w:r>
      <w:r w:rsidR="00E63785">
        <w:tab/>
      </w:r>
      <w:r>
        <w:t xml:space="preserve">The procedures supervisors must follow when an employee reports or exhibits health symptoms that necessitate immediate medical attention such as, but not limited to, asthma attacks, difficulty breathing, and chest pain; </w:t>
      </w:r>
    </w:p>
    <w:p w14:paraId="293B5BC5" w14:textId="77777777" w:rsidR="00BE02B6" w:rsidRDefault="00BE02B6" w:rsidP="00E63785">
      <w:pPr>
        <w:pStyle w:val="List2"/>
      </w:pPr>
      <w:r>
        <w:t>(i</w:t>
      </w:r>
      <w:r w:rsidR="00E63785">
        <w:t>)</w:t>
      </w:r>
      <w:r w:rsidR="00E63785">
        <w:tab/>
      </w:r>
      <w:r>
        <w:t>How to operate and interpret exposure results based on any PM2.5 monitoring device used by the employer in compliance with this standard; and</w:t>
      </w:r>
    </w:p>
    <w:p w14:paraId="653C5E72" w14:textId="77777777" w:rsidR="00BE02B6" w:rsidRDefault="00BE02B6" w:rsidP="00E63785">
      <w:pPr>
        <w:pStyle w:val="List2"/>
      </w:pPr>
      <w:r>
        <w:t>(j</w:t>
      </w:r>
      <w:r w:rsidR="00E63785">
        <w:t>)</w:t>
      </w:r>
      <w:r w:rsidR="00E63785">
        <w:tab/>
      </w:r>
      <w:r>
        <w:t>An explanation of the employer's two-way communication system for wildfire smoke exposure control information as required by section (6) of this standard.</w:t>
      </w:r>
    </w:p>
    <w:p w14:paraId="58001900" w14:textId="77777777" w:rsidR="00BE02B6" w:rsidRDefault="00BE02B6" w:rsidP="00E63785">
      <w:pPr>
        <w:pStyle w:val="List"/>
      </w:pPr>
      <w:r>
        <w:lastRenderedPageBreak/>
        <w:t>(5</w:t>
      </w:r>
      <w:r w:rsidR="00E63785">
        <w:t>)</w:t>
      </w:r>
      <w:r w:rsidR="00E63785">
        <w:tab/>
      </w:r>
      <w:r>
        <w:t>Training documentation. Verify supervisor and employee training required under section (4) of this standard by preparing a written or electronic record that includes at least the name or identification number of each employee trained, the date(s) of the training(s), and the name of the person(s) who conducted the training. The most recent annual training record for each employee must be maintained for one year.</w:t>
      </w:r>
    </w:p>
    <w:p w14:paraId="16CBE9D2" w14:textId="77777777" w:rsidR="00BE02B6" w:rsidRDefault="00BE02B6" w:rsidP="00E63785">
      <w:pPr>
        <w:pStyle w:val="List"/>
      </w:pPr>
      <w:r>
        <w:t>(6</w:t>
      </w:r>
      <w:r w:rsidR="00E63785">
        <w:t>)</w:t>
      </w:r>
      <w:r w:rsidR="00E63785">
        <w:tab/>
      </w:r>
      <w:r>
        <w:t>Employer two-way communication. Before employees are exposed to an ambient air concentration of PM2.5 at or above 35.5 µg/m</w:t>
      </w:r>
      <w:r w:rsidRPr="007850FE">
        <w:rPr>
          <w:vertAlign w:val="superscript"/>
        </w:rPr>
        <w:t>3</w:t>
      </w:r>
      <w:r>
        <w:t xml:space="preserve"> (AQI 101), develop and implement a two-way system to communicate wildfire smoke information between supervisors and employees. At a minimum, this communication system must include:</w:t>
      </w:r>
    </w:p>
    <w:p w14:paraId="27D5E872" w14:textId="77777777" w:rsidR="00BE02B6" w:rsidRDefault="00BE02B6" w:rsidP="00E63785">
      <w:pPr>
        <w:pStyle w:val="List2"/>
      </w:pPr>
      <w:r>
        <w:t>(a</w:t>
      </w:r>
      <w:r w:rsidR="00E63785">
        <w:t>)</w:t>
      </w:r>
      <w:r w:rsidR="00E63785">
        <w:tab/>
      </w:r>
      <w:r>
        <w:t>A means to notify exposed employees of any changes in the air quality at their work location that would necessitate an increase or decrease in the level of exposure controls required in section (7) of this standard; and</w:t>
      </w:r>
    </w:p>
    <w:p w14:paraId="54431802" w14:textId="77777777" w:rsidR="00BE02B6" w:rsidRDefault="00BE02B6" w:rsidP="00E63785">
      <w:pPr>
        <w:pStyle w:val="List2"/>
      </w:pPr>
      <w:r>
        <w:t>(b</w:t>
      </w:r>
      <w:r w:rsidR="00E63785">
        <w:t>)</w:t>
      </w:r>
      <w:r w:rsidR="00E63785">
        <w:tab/>
      </w:r>
      <w:r>
        <w:t>A means to enable and encourage employees to inform their employer or supervisor of at least the following:</w:t>
      </w:r>
    </w:p>
    <w:p w14:paraId="2CFCE037" w14:textId="77777777" w:rsidR="00FD341A" w:rsidRDefault="00FD341A" w:rsidP="00E63785">
      <w:pPr>
        <w:pStyle w:val="List3"/>
        <w:sectPr w:rsidR="00FD341A" w:rsidSect="006270F9">
          <w:footerReference w:type="even" r:id="rId25"/>
          <w:footerReference w:type="default" r:id="rId26"/>
          <w:endnotePr>
            <w:numFmt w:val="decimal"/>
          </w:endnotePr>
          <w:type w:val="continuous"/>
          <w:pgSz w:w="12240" w:h="15840" w:code="1"/>
          <w:pgMar w:top="1440" w:right="864" w:bottom="1440" w:left="1440" w:header="720" w:footer="720" w:gutter="0"/>
          <w:cols w:space="720"/>
          <w:titlePg/>
          <w:docGrid w:linePitch="360"/>
        </w:sectPr>
      </w:pPr>
    </w:p>
    <w:p w14:paraId="7C326F80" w14:textId="77777777" w:rsidR="00BE02B6" w:rsidRDefault="00BE02B6" w:rsidP="00E63785">
      <w:pPr>
        <w:pStyle w:val="List3"/>
      </w:pPr>
      <w:r>
        <w:t>(A</w:t>
      </w:r>
      <w:r w:rsidR="00E63785">
        <w:t>)</w:t>
      </w:r>
      <w:r w:rsidR="00E63785">
        <w:tab/>
      </w:r>
      <w:r>
        <w:t xml:space="preserve">Any changes in the air quality at their work location that could necessitate an increase or decrease in the level of exposure controls required by section (7) of this standard; </w:t>
      </w:r>
    </w:p>
    <w:p w14:paraId="35EC7351" w14:textId="77777777" w:rsidR="00BE02B6" w:rsidRDefault="00BE02B6" w:rsidP="00E63785">
      <w:pPr>
        <w:pStyle w:val="List3"/>
      </w:pPr>
      <w:r>
        <w:t>(B</w:t>
      </w:r>
      <w:r w:rsidR="00E63785">
        <w:t>)</w:t>
      </w:r>
      <w:r w:rsidR="00E63785">
        <w:tab/>
      </w:r>
      <w:r>
        <w:t>Any availability issues of appropriate exposure control measures required by section (7) of this standard; and</w:t>
      </w:r>
    </w:p>
    <w:p w14:paraId="4B10C0F8" w14:textId="77777777" w:rsidR="00BE02B6" w:rsidRDefault="00BE02B6" w:rsidP="00E63785">
      <w:pPr>
        <w:pStyle w:val="List3"/>
      </w:pPr>
      <w:r>
        <w:t>(C</w:t>
      </w:r>
      <w:r w:rsidR="00E63785">
        <w:t>)</w:t>
      </w:r>
      <w:r w:rsidR="00E63785">
        <w:tab/>
      </w:r>
      <w:r>
        <w:t>Any health symptoms that may be the result of wildfire smoke exposure and that could necessitate medical attention.</w:t>
      </w:r>
    </w:p>
    <w:p w14:paraId="5CC7BC10" w14:textId="77777777" w:rsidR="00BE02B6" w:rsidRPr="00E63785" w:rsidRDefault="00E63785" w:rsidP="007850FE">
      <w:pPr>
        <w:pStyle w:val="List2"/>
        <w:rPr>
          <w:rStyle w:val="Notes"/>
        </w:rPr>
      </w:pPr>
      <w:r>
        <w:tab/>
      </w:r>
      <w:r w:rsidR="00BE02B6" w:rsidRPr="00E63785">
        <w:rPr>
          <w:rStyle w:val="Notes"/>
          <w:b/>
        </w:rPr>
        <w:t>Note:</w:t>
      </w:r>
      <w:r w:rsidR="00BE02B6" w:rsidRPr="00E63785">
        <w:rPr>
          <w:rStyle w:val="Notes"/>
        </w:rPr>
        <w:t xml:space="preserve"> The employer’s emergency medical plan or medical services provisions to comply with Division 2, Subdivision K, OAR 437-002-0161(4); Division 3, Subdivision D, 29 CFR 1926.50; or Division 7, Subdivision C, OAR 437-007-0220; must address the types of medical situations that employees could encounter, including those conditions relating to wildfire smoke exposure.</w:t>
      </w:r>
    </w:p>
    <w:p w14:paraId="7586A713" w14:textId="77777777" w:rsidR="00BE02B6" w:rsidRDefault="00BE02B6" w:rsidP="007850FE">
      <w:pPr>
        <w:pStyle w:val="List"/>
      </w:pPr>
      <w:r>
        <w:t>(7</w:t>
      </w:r>
      <w:r w:rsidR="00E63785">
        <w:t>)</w:t>
      </w:r>
      <w:r w:rsidR="00E63785">
        <w:tab/>
      </w:r>
      <w:r>
        <w:t>Exposure controls</w:t>
      </w:r>
      <w:r w:rsidR="007850FE">
        <w:t>.</w:t>
      </w:r>
    </w:p>
    <w:p w14:paraId="49C46802" w14:textId="77777777" w:rsidR="00BE02B6" w:rsidRDefault="00BE02B6" w:rsidP="00E63785">
      <w:pPr>
        <w:pStyle w:val="List2"/>
      </w:pPr>
      <w:r>
        <w:t>(a</w:t>
      </w:r>
      <w:r w:rsidR="00E63785">
        <w:t>)</w:t>
      </w:r>
      <w:r w:rsidR="00E63785">
        <w:tab/>
      </w:r>
      <w:r>
        <w:t>Engineering and administrative controls. Implement engineering and administrative controls to reduce employee PM2.5 exposure to less than 35.5 µg/m</w:t>
      </w:r>
      <w:r w:rsidRPr="007850FE">
        <w:rPr>
          <w:vertAlign w:val="superscript"/>
        </w:rPr>
        <w:t>3</w:t>
      </w:r>
      <w:r>
        <w:t xml:space="preserve"> (AQI 101), unless the employer can demonstrate that such controls are functionally impossible, or would prevent the completion of work. </w:t>
      </w:r>
    </w:p>
    <w:p w14:paraId="0ED6E1FB" w14:textId="77777777" w:rsidR="00BE02B6" w:rsidRDefault="00BE02B6" w:rsidP="00E63785">
      <w:pPr>
        <w:pStyle w:val="List3"/>
      </w:pPr>
      <w:r>
        <w:lastRenderedPageBreak/>
        <w:t>(A</w:t>
      </w:r>
      <w:r w:rsidR="00E63785">
        <w:t>)</w:t>
      </w:r>
      <w:r w:rsidR="00E63785">
        <w:tab/>
      </w:r>
      <w:r>
        <w:t xml:space="preserve">Appropriate engineering controls may include, but are not limited to, temporarily relocating outdoor workers to available indoor areas or vehicles where the air is adequately filtered, or using portable air purifiers equipped with HEPA filters (or similar high-efficiency air filters) that are sufficient in number and performance for the size of the enclosed area where used. </w:t>
      </w:r>
    </w:p>
    <w:p w14:paraId="64A81813" w14:textId="77777777" w:rsidR="00BE02B6" w:rsidRDefault="00BE02B6" w:rsidP="00E63785">
      <w:pPr>
        <w:pStyle w:val="List3"/>
      </w:pPr>
      <w:r>
        <w:t>(B</w:t>
      </w:r>
      <w:r w:rsidR="00E63785">
        <w:t>)</w:t>
      </w:r>
      <w:r w:rsidR="00E63785">
        <w:tab/>
      </w:r>
      <w:r>
        <w:t>Appropriate administrative controls may include, but are not limited to, temporarily relocating outdoor work operations to another outdoor location with better air quality when work permits, and changing employee work schedules to when better air quality is forecasted.</w:t>
      </w:r>
    </w:p>
    <w:p w14:paraId="1FB06C18" w14:textId="77777777" w:rsidR="00BE02B6" w:rsidRDefault="00BE02B6" w:rsidP="00E63785">
      <w:pPr>
        <w:pStyle w:val="List2"/>
      </w:pPr>
      <w:r>
        <w:t>(b</w:t>
      </w:r>
      <w:r w:rsidR="00E63785">
        <w:t>)</w:t>
      </w:r>
      <w:r w:rsidR="00E63785">
        <w:tab/>
      </w:r>
      <w:r>
        <w:t>Voluntary use of filtering facepiece respirators. Whenever employee exposure to PM2.5 is at or above 35.5 µg/m</w:t>
      </w:r>
      <w:r w:rsidRPr="007850FE">
        <w:rPr>
          <w:vertAlign w:val="superscript"/>
        </w:rPr>
        <w:t>3</w:t>
      </w:r>
      <w:r>
        <w:t xml:space="preserve"> (AQI 101), even after the implementation of engineering and administrative controls, ensure that appropriate NIOSH-approved filtering facepiece respirators are provided to employees for voluntary use, strictly for protection against wildfire smoke, when such use would not expose the wearer to a hazard associated with a substantially more serious injury or illness than the potential acute health effects of wildfire smoke exposure. Ensure that such respirators are:</w:t>
      </w:r>
    </w:p>
    <w:p w14:paraId="4E2F8A5E" w14:textId="77777777" w:rsidR="00BE02B6" w:rsidRDefault="00BE02B6" w:rsidP="00E63785">
      <w:pPr>
        <w:pStyle w:val="List3"/>
      </w:pPr>
      <w:r>
        <w:t>(A)</w:t>
      </w:r>
      <w:r>
        <w:tab/>
        <w:t>Provided and replaced as needed at no cost to employees by either:</w:t>
      </w:r>
    </w:p>
    <w:p w14:paraId="10DC1417" w14:textId="77777777" w:rsidR="00BE02B6" w:rsidRDefault="00BE02B6" w:rsidP="00E63785">
      <w:pPr>
        <w:pStyle w:val="List4"/>
      </w:pPr>
      <w:r>
        <w:t>(i)</w:t>
      </w:r>
      <w:r>
        <w:tab/>
        <w:t>Distributing filtering facepiece respirators directly to each exposed employee; or</w:t>
      </w:r>
    </w:p>
    <w:p w14:paraId="65FB64F5" w14:textId="77777777" w:rsidR="00BE02B6" w:rsidRDefault="00BE02B6" w:rsidP="00E63785">
      <w:pPr>
        <w:pStyle w:val="List4"/>
      </w:pPr>
      <w:r>
        <w:t>(ii)</w:t>
      </w:r>
      <w:r>
        <w:tab/>
        <w:t>Maintaining a sufficient supply of filtering facepiece respirators that is readily accessible and known to any exposed employee at each work location. This respirator supply must be in a location that does not restrict or hinder employee access to respirators or discourage the replacement of a respirator when needed.</w:t>
      </w:r>
    </w:p>
    <w:p w14:paraId="785D0A74" w14:textId="77777777" w:rsidR="00BE02B6" w:rsidRDefault="00BE02B6" w:rsidP="00E63785">
      <w:pPr>
        <w:pStyle w:val="List3"/>
      </w:pPr>
      <w:r>
        <w:t>(B)</w:t>
      </w:r>
      <w:r>
        <w:tab/>
        <w:t>Stored and maintained so that they do not present a health hazard to the user.</w:t>
      </w:r>
    </w:p>
    <w:p w14:paraId="24670339" w14:textId="77777777" w:rsidR="00BE02B6" w:rsidRPr="00AC2AF8" w:rsidRDefault="00AC2AF8" w:rsidP="00AC2AF8">
      <w:pPr>
        <w:pStyle w:val="List2"/>
        <w:rPr>
          <w:rStyle w:val="Notes"/>
        </w:rPr>
      </w:pPr>
      <w:r>
        <w:tab/>
      </w:r>
      <w:r w:rsidR="00BE02B6" w:rsidRPr="00AC2AF8">
        <w:rPr>
          <w:rStyle w:val="Notes"/>
          <w:b/>
        </w:rPr>
        <w:t>Note:</w:t>
      </w:r>
      <w:r w:rsidR="00BE02B6" w:rsidRPr="00AC2AF8">
        <w:rPr>
          <w:rStyle w:val="Notes"/>
        </w:rPr>
        <w:t xml:space="preserve"> Voluntary use of filtering facepiece respirators under subsection (7)(b) in this standard is not subject to the requirements under the Respiratory Protection Standard – 29 CFR 1910.134.</w:t>
      </w:r>
    </w:p>
    <w:p w14:paraId="1EF35795" w14:textId="77777777" w:rsidR="00BE02B6" w:rsidRPr="00AC2AF8" w:rsidRDefault="00AC2AF8" w:rsidP="00AC2AF8">
      <w:pPr>
        <w:pStyle w:val="List2"/>
        <w:rPr>
          <w:rStyle w:val="Notes"/>
        </w:rPr>
      </w:pPr>
      <w:r>
        <w:tab/>
      </w:r>
      <w:r w:rsidR="00BE02B6" w:rsidRPr="00AC2AF8">
        <w:rPr>
          <w:rStyle w:val="Notes"/>
          <w:b/>
        </w:rPr>
        <w:t>Note:</w:t>
      </w:r>
      <w:r w:rsidR="00BE02B6" w:rsidRPr="00AC2AF8">
        <w:rPr>
          <w:rStyle w:val="Notes"/>
        </w:rPr>
        <w:t xml:space="preserve"> Employer supplies of NIOSH-approved filtering facepiece respirators for voluntary use should include an adequate size selection for exposed employees.</w:t>
      </w:r>
    </w:p>
    <w:p w14:paraId="7873B99B" w14:textId="1D186646" w:rsidR="00BE02B6" w:rsidRDefault="006270F9" w:rsidP="00AC2AF8">
      <w:pPr>
        <w:pStyle w:val="List2"/>
      </w:pPr>
      <w:r>
        <w:rPr>
          <w:noProof/>
        </w:rPr>
        <w:lastRenderedPageBreak/>
        <mc:AlternateContent>
          <mc:Choice Requires="wps">
            <w:drawing>
              <wp:anchor distT="0" distB="0" distL="114300" distR="114300" simplePos="0" relativeHeight="251663360" behindDoc="1" locked="0" layoutInCell="1" allowOverlap="1" wp14:anchorId="4C1847D2" wp14:editId="624947D6">
                <wp:simplePos x="0" y="0"/>
                <wp:positionH relativeFrom="margin">
                  <wp:align>center</wp:align>
                </wp:positionH>
                <wp:positionV relativeFrom="line">
                  <wp:posOffset>-219075</wp:posOffset>
                </wp:positionV>
                <wp:extent cx="2028825" cy="209550"/>
                <wp:effectExtent l="0" t="0" r="28575" b="19050"/>
                <wp:wrapNone/>
                <wp:docPr id="1778492308" name="Rectangle: Rounded Corners 2">
                  <a:hlinkClick xmlns:a="http://schemas.openxmlformats.org/drawingml/2006/main" r:id="rId21" tooltip="Link to note about AQI index changes"/>
                </wp:docPr>
                <wp:cNvGraphicFramePr/>
                <a:graphic xmlns:a="http://schemas.openxmlformats.org/drawingml/2006/main">
                  <a:graphicData uri="http://schemas.microsoft.com/office/word/2010/wordprocessingShape">
                    <wps:wsp>
                      <wps:cNvSpPr/>
                      <wps:spPr>
                        <a:xfrm>
                          <a:off x="0" y="0"/>
                          <a:ext cx="2028825" cy="209550"/>
                        </a:xfrm>
                        <a:prstGeom prst="roundRect">
                          <a:avLst/>
                        </a:prstGeom>
                        <a:gradFill flip="none" rotWithShape="1">
                          <a:gsLst>
                            <a:gs pos="0">
                              <a:schemeClr val="accent6">
                                <a:lumMod val="60000"/>
                                <a:lumOff val="40000"/>
                              </a:schemeClr>
                            </a:gs>
                            <a:gs pos="48000">
                              <a:schemeClr val="accent6">
                                <a:lumMod val="40000"/>
                                <a:lumOff val="60000"/>
                              </a:schemeClr>
                            </a:gs>
                            <a:gs pos="100000">
                              <a:schemeClr val="accent6">
                                <a:lumMod val="20000"/>
                                <a:lumOff val="80000"/>
                              </a:schemeClr>
                            </a:gs>
                          </a:gsLst>
                          <a:lin ang="16200000" scaled="1"/>
                          <a:tileRect/>
                        </a:gradFill>
                        <a:ln w="12700">
                          <a:solidFill>
                            <a:schemeClr val="accent3"/>
                          </a:solidFill>
                        </a:ln>
                      </wps:spPr>
                      <wps:style>
                        <a:lnRef idx="0">
                          <a:scrgbClr r="0" g="0" b="0"/>
                        </a:lnRef>
                        <a:fillRef idx="0">
                          <a:scrgbClr r="0" g="0" b="0"/>
                        </a:fillRef>
                        <a:effectRef idx="0">
                          <a:scrgbClr r="0" g="0" b="0"/>
                        </a:effectRef>
                        <a:fontRef idx="minor">
                          <a:schemeClr val="lt1"/>
                        </a:fontRef>
                      </wps:style>
                      <wps:txbx>
                        <w:txbxContent>
                          <w:p w14:paraId="6D4A4549"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847D2" id="_x0000_s1028" href="#NOTEAQI" title="Link to note about AQI index changes" style="position:absolute;left:0;text-align:left;margin-left:0;margin-top:-17.25pt;width:159.75pt;height:16.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" o:button="t" fillcolor="#8dd873 [1945]" strokecolor="#196b24 [3206]" strokeweight="1pt">
                <v:fill color2="#d9f2d0 [665]" rotate="t" o:detectmouseclick="t" angle="180" colors="0 #8ed973;31457f #b4e5a2;1 #d9f2d0" focus="100%" type="gradient"/>
                <v:textbox inset="0,0,0,0">
                  <w:txbxContent>
                    <w:p w14:paraId="6D4A4549"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v:textbox>
                <w10:wrap anchorx="margin" anchory="line"/>
              </v:roundrect>
            </w:pict>
          </mc:Fallback>
        </mc:AlternateContent>
      </w:r>
      <w:r w:rsidR="00BE02B6">
        <w:t>(c</w:t>
      </w:r>
      <w:r w:rsidR="00E63785">
        <w:t>)</w:t>
      </w:r>
      <w:r w:rsidR="00E63785">
        <w:tab/>
      </w:r>
      <w:r w:rsidR="00BE02B6">
        <w:t>Required use of filtering facepiece respirators in accordance with a Wildfire Smoke Respiratory Protection Program. Whenever employee exposure to PM2.5 is at or above 200.9 µg/m</w:t>
      </w:r>
      <w:r w:rsidR="00BE02B6" w:rsidRPr="007850FE">
        <w:rPr>
          <w:vertAlign w:val="superscript"/>
        </w:rPr>
        <w:t>3</w:t>
      </w:r>
      <w:r w:rsidR="00BE02B6">
        <w:t xml:space="preserve"> (AQI 251), even after the implementation of engineering and administrative controls, ensure that employees wear appropriate NIOSH-approved filtering facepiece respirators when such use would not expose the wearer to a hazard associated with a substantially more serious injury or illness than the potential acute health effects of wildfire smoke exposure. When such filtering facepiece respirators are provided and used strictly for protection against wildfire smoke, the employer may implement and follow the Wildfire Smoke Respiratory Protection Program as described in Appendix A of this standard in lieu of conducting medical evaluations and fit testing, which are otherwise required under the Respiratory Protection Standard – 29 CFR 1910.134. </w:t>
      </w:r>
    </w:p>
    <w:p w14:paraId="0AA45E48" w14:textId="77777777" w:rsidR="00BE02B6" w:rsidRDefault="00BE02B6" w:rsidP="00AC2AF8">
      <w:pPr>
        <w:pStyle w:val="List2"/>
      </w:pPr>
      <w:r>
        <w:t>(d</w:t>
      </w:r>
      <w:r w:rsidR="00E63785">
        <w:t>)</w:t>
      </w:r>
      <w:r w:rsidR="00E63785">
        <w:tab/>
      </w:r>
      <w:r>
        <w:t>Required use of respirators in accordance with the Respiratory Protection Standard – 29 CFR 1910.134. Whenever employee exposure to PM2.5 is at or above 500.4 µg/m</w:t>
      </w:r>
      <w:r w:rsidRPr="007850FE">
        <w:rPr>
          <w:vertAlign w:val="superscript"/>
        </w:rPr>
        <w:t>3</w:t>
      </w:r>
      <w:r>
        <w:t xml:space="preserve"> (AQI 501), even after the implementation of engineering and administrative controls, ensure that employees wear appropriate NIOSH-approved respirators that protects wearers from PM2.5 when such use would not expose the wearer to a hazard associated with a substantially more serious injury or illness than the potential acute health effects of wildfire smoke exposure. For respirators used exclusively to protect employees from wildfire smoke concentrations of PM2.5 at or above 500.4 µg/m</w:t>
      </w:r>
      <w:r w:rsidRPr="007850FE">
        <w:rPr>
          <w:vertAlign w:val="superscript"/>
        </w:rPr>
        <w:t>3</w:t>
      </w:r>
      <w:r>
        <w:t xml:space="preserve"> (AQI 501), develop and implement a complete Respiratory Protection Program in accordance with 29 CFR 1910.134 – Respiratory Protection. </w:t>
      </w:r>
    </w:p>
    <w:p w14:paraId="5EC1A414" w14:textId="77777777" w:rsidR="00BE02B6" w:rsidRPr="00AC2AF8" w:rsidRDefault="00AC2AF8" w:rsidP="00AC2AF8">
      <w:pPr>
        <w:pStyle w:val="List2"/>
        <w:rPr>
          <w:rStyle w:val="Notes"/>
        </w:rPr>
      </w:pPr>
      <w:r>
        <w:tab/>
      </w:r>
      <w:r w:rsidR="00BE02B6" w:rsidRPr="00AC2AF8">
        <w:rPr>
          <w:rStyle w:val="Notes"/>
          <w:b/>
        </w:rPr>
        <w:t>Note:</w:t>
      </w:r>
      <w:r w:rsidR="00BE02B6" w:rsidRPr="00AC2AF8">
        <w:rPr>
          <w:rStyle w:val="Notes"/>
        </w:rPr>
        <w:t xml:space="preserve"> The requirements of subsections (7)(c</w:t>
      </w:r>
      <w:r w:rsidR="00E63785" w:rsidRPr="00AC2AF8">
        <w:rPr>
          <w:rStyle w:val="Notes"/>
        </w:rPr>
        <w:t>)</w:t>
      </w:r>
      <w:r w:rsidRPr="00AC2AF8">
        <w:rPr>
          <w:rStyle w:val="Notes"/>
        </w:rPr>
        <w:t xml:space="preserve"> </w:t>
      </w:r>
      <w:r w:rsidR="00BE02B6" w:rsidRPr="00AC2AF8">
        <w:rPr>
          <w:rStyle w:val="Notes"/>
        </w:rPr>
        <w:t xml:space="preserve">and (7)(d) do not apply to occupants of employer-provided housing while they are inside the housing. </w:t>
      </w:r>
    </w:p>
    <w:p w14:paraId="45C08EBF" w14:textId="77777777" w:rsidR="00A70F7A" w:rsidRPr="00AC2AF8" w:rsidRDefault="00AC2AF8" w:rsidP="00AC2AF8">
      <w:pPr>
        <w:pStyle w:val="List2"/>
        <w:rPr>
          <w:rStyle w:val="Notes"/>
        </w:rPr>
      </w:pPr>
      <w:r>
        <w:tab/>
      </w:r>
      <w:r w:rsidR="00BE02B6" w:rsidRPr="00AC2AF8">
        <w:rPr>
          <w:rStyle w:val="Notes"/>
          <w:b/>
        </w:rPr>
        <w:t>Note:</w:t>
      </w:r>
      <w:r w:rsidR="00BE02B6" w:rsidRPr="00AC2AF8">
        <w:rPr>
          <w:rStyle w:val="Notes"/>
        </w:rPr>
        <w:t xml:space="preserve"> Elastomeric respirators are distinct from filtering facepiece respirators. If elastomeric respirators are used to reduce employee exposure to wildfire smoke at any PM2.5 concentration, employers must comply with all applicable requirements under of the Respiratory Protection Standard – 29 CFR 1910.134.</w:t>
      </w:r>
    </w:p>
    <w:p w14:paraId="07311C6B" w14:textId="77777777" w:rsidR="002B06E2" w:rsidRPr="009C7898" w:rsidRDefault="002B06E2" w:rsidP="009C7898">
      <w:pPr>
        <w:pStyle w:val="History"/>
      </w:pPr>
      <w:r w:rsidRPr="009C7898">
        <w:t>Sta</w:t>
      </w:r>
      <w:r w:rsidR="009C7898" w:rsidRPr="009C7898">
        <w:t>tutory</w:t>
      </w:r>
      <w:r w:rsidRPr="009C7898">
        <w:t xml:space="preserve"> Aut</w:t>
      </w:r>
      <w:r w:rsidR="009C7898" w:rsidRPr="009C7898">
        <w:t>hority</w:t>
      </w:r>
      <w:r w:rsidRPr="009C7898">
        <w:t>.: ORS 654-025(2)</w:t>
      </w:r>
      <w:r w:rsidR="009C7898" w:rsidRPr="009C7898">
        <w:t>, 654.035,</w:t>
      </w:r>
      <w:r w:rsidRPr="009C7898">
        <w:t xml:space="preserve"> and 656.726(4).</w:t>
      </w:r>
    </w:p>
    <w:p w14:paraId="021BDEFC" w14:textId="77777777" w:rsidR="002B06E2" w:rsidRPr="009C7898" w:rsidRDefault="002B06E2" w:rsidP="009C7898">
      <w:pPr>
        <w:pStyle w:val="History"/>
      </w:pPr>
      <w:r w:rsidRPr="009C7898">
        <w:t>Stat</w:t>
      </w:r>
      <w:r w:rsidR="009C7898" w:rsidRPr="009C7898">
        <w:t>utes</w:t>
      </w:r>
      <w:r w:rsidRPr="009C7898">
        <w:t xml:space="preserve"> Implemented: ORS 654.001 to 654.295.</w:t>
      </w:r>
    </w:p>
    <w:p w14:paraId="0246202C" w14:textId="77777777" w:rsidR="002B06E2" w:rsidRPr="009C7898" w:rsidRDefault="002B06E2" w:rsidP="009C7898">
      <w:pPr>
        <w:pStyle w:val="History"/>
      </w:pPr>
      <w:r w:rsidRPr="009C7898">
        <w:t>Hist</w:t>
      </w:r>
      <w:r w:rsidR="009C7898" w:rsidRPr="009C7898">
        <w:t>ory</w:t>
      </w:r>
      <w:r w:rsidRPr="009C7898">
        <w:t>:</w:t>
      </w:r>
      <w:r w:rsidRPr="009C7898">
        <w:tab/>
        <w:t xml:space="preserve">OSHA Admin. Order </w:t>
      </w:r>
      <w:r w:rsidR="009C7898" w:rsidRPr="009C7898">
        <w:t>4-2022</w:t>
      </w:r>
      <w:r w:rsidRPr="009C7898">
        <w:t>, f</w:t>
      </w:r>
      <w:r w:rsidR="009C7898" w:rsidRPr="009C7898">
        <w:t>iled</w:t>
      </w:r>
      <w:r w:rsidRPr="009C7898">
        <w:t xml:space="preserve"> </w:t>
      </w:r>
      <w:r w:rsidR="009C7898" w:rsidRPr="009C7898">
        <w:t>5</w:t>
      </w:r>
      <w:r w:rsidRPr="009C7898">
        <w:t>/</w:t>
      </w:r>
      <w:r w:rsidR="009C7898" w:rsidRPr="009C7898">
        <w:t>10</w:t>
      </w:r>
      <w:r w:rsidRPr="009C7898">
        <w:t>/</w:t>
      </w:r>
      <w:r w:rsidR="009C7898" w:rsidRPr="009C7898">
        <w:t>2022</w:t>
      </w:r>
      <w:r w:rsidRPr="009C7898">
        <w:t>, ef</w:t>
      </w:r>
      <w:r w:rsidR="009C7898" w:rsidRPr="009C7898">
        <w:t>fective</w:t>
      </w:r>
      <w:r w:rsidRPr="009C7898">
        <w:t xml:space="preserve"> </w:t>
      </w:r>
      <w:r w:rsidR="009C7898" w:rsidRPr="009C7898">
        <w:t>7</w:t>
      </w:r>
      <w:r w:rsidRPr="009C7898">
        <w:t>/</w:t>
      </w:r>
      <w:r w:rsidR="009C7898" w:rsidRPr="009C7898">
        <w:t>1</w:t>
      </w:r>
      <w:r w:rsidRPr="009C7898">
        <w:t>/</w:t>
      </w:r>
      <w:r w:rsidR="009C7898" w:rsidRPr="009C7898">
        <w:t>2022</w:t>
      </w:r>
      <w:r w:rsidRPr="009C7898">
        <w:t>.</w:t>
      </w:r>
    </w:p>
    <w:p w14:paraId="574CFB6C" w14:textId="77777777" w:rsidR="003A3DB6" w:rsidRDefault="002B06E2" w:rsidP="009C7898">
      <w:pPr>
        <w:pStyle w:val="History"/>
      </w:pPr>
      <w:r w:rsidRPr="00EA48AA">
        <w:tab/>
      </w:r>
    </w:p>
    <w:p w14:paraId="3F563AFE" w14:textId="77777777" w:rsidR="00CD315C" w:rsidRDefault="00CD315C" w:rsidP="00CD315C">
      <w:pPr>
        <w:sectPr w:rsidR="00CD315C" w:rsidSect="006270F9">
          <w:footerReference w:type="even" r:id="rId27"/>
          <w:footerReference w:type="default" r:id="rId28"/>
          <w:endnotePr>
            <w:numFmt w:val="decimal"/>
          </w:endnotePr>
          <w:type w:val="continuous"/>
          <w:pgSz w:w="12240" w:h="15840" w:code="1"/>
          <w:pgMar w:top="1440" w:right="864" w:bottom="1440" w:left="1440" w:header="720" w:footer="720" w:gutter="0"/>
          <w:cols w:space="720"/>
          <w:titlePg/>
          <w:docGrid w:linePitch="360"/>
        </w:sectPr>
      </w:pPr>
    </w:p>
    <w:p w14:paraId="6A21EF86" w14:textId="4C8C2C55" w:rsidR="00933AA5" w:rsidRDefault="006270F9" w:rsidP="00EB5DBB">
      <w:pPr>
        <w:pStyle w:val="Heading1"/>
        <w:tabs>
          <w:tab w:val="clear" w:pos="1620"/>
          <w:tab w:val="left" w:pos="1800"/>
        </w:tabs>
      </w:pPr>
      <w:bookmarkStart w:id="4" w:name="_Toc109812495"/>
      <w:r>
        <w:rPr>
          <w:noProof/>
        </w:rPr>
        <w:lastRenderedPageBreak/>
        <mc:AlternateContent>
          <mc:Choice Requires="wps">
            <w:drawing>
              <wp:anchor distT="0" distB="0" distL="114300" distR="114300" simplePos="0" relativeHeight="251665408" behindDoc="1" locked="0" layoutInCell="1" allowOverlap="1" wp14:anchorId="388DA454" wp14:editId="41D422FA">
                <wp:simplePos x="0" y="0"/>
                <wp:positionH relativeFrom="margin">
                  <wp:posOffset>2125980</wp:posOffset>
                </wp:positionH>
                <wp:positionV relativeFrom="line">
                  <wp:posOffset>-209550</wp:posOffset>
                </wp:positionV>
                <wp:extent cx="2028825" cy="247650"/>
                <wp:effectExtent l="0" t="0" r="28575" b="19050"/>
                <wp:wrapNone/>
                <wp:docPr id="1469298648" name="Rectangle: Rounded Corners 2">
                  <a:hlinkClick xmlns:a="http://schemas.openxmlformats.org/drawingml/2006/main" r:id="rId21"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chemeClr val="accent6">
                                <a:lumMod val="60000"/>
                                <a:lumOff val="40000"/>
                              </a:schemeClr>
                            </a:gs>
                            <a:gs pos="48000">
                              <a:schemeClr val="accent6">
                                <a:lumMod val="40000"/>
                                <a:lumOff val="60000"/>
                              </a:schemeClr>
                            </a:gs>
                            <a:gs pos="100000">
                              <a:schemeClr val="accent6">
                                <a:lumMod val="20000"/>
                                <a:lumOff val="80000"/>
                              </a:schemeClr>
                            </a:gs>
                          </a:gsLst>
                          <a:lin ang="16200000" scaled="1"/>
                          <a:tileRect/>
                        </a:gradFill>
                        <a:ln w="12700">
                          <a:solidFill>
                            <a:schemeClr val="accent3"/>
                          </a:solidFill>
                        </a:ln>
                      </wps:spPr>
                      <wps:style>
                        <a:lnRef idx="0">
                          <a:scrgbClr r="0" g="0" b="0"/>
                        </a:lnRef>
                        <a:fillRef idx="0">
                          <a:scrgbClr r="0" g="0" b="0"/>
                        </a:fillRef>
                        <a:effectRef idx="0">
                          <a:scrgbClr r="0" g="0" b="0"/>
                        </a:effectRef>
                        <a:fontRef idx="minor">
                          <a:schemeClr val="lt1"/>
                        </a:fontRef>
                      </wps:style>
                      <wps:txbx>
                        <w:txbxContent>
                          <w:p w14:paraId="3055BC6D"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DA454" id="_x0000_s1029" href="#NOTEAQI" title="Link to note about AQI index changes" style="position:absolute;margin-left:167.4pt;margin-top:-16.5pt;width:159.75pt;height:1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" o:button="t" fillcolor="#8dd873 [1945]" strokecolor="#196b24 [3206]" strokeweight="1pt">
                <v:fill color2="#d9f2d0 [665]" rotate="t" o:detectmouseclick="t" angle="180" colors="0 #8ed973;31457f #b4e5a2;1 #d9f2d0" focus="100%" type="gradient"/>
                <v:textbox inset="2.16pt,2.16pt,2.16pt,1.44pt">
                  <w:txbxContent>
                    <w:p w14:paraId="3055BC6D"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v:textbox>
                <w10:wrap anchorx="margin" anchory="line"/>
              </v:roundrect>
            </w:pict>
          </mc:Fallback>
        </mc:AlternateContent>
      </w:r>
      <w:r w:rsidR="00933AA5">
        <w:t>Appendix A</w:t>
      </w:r>
      <w:r w:rsidR="00482C3D">
        <w:t>:</w:t>
      </w:r>
      <w:r w:rsidR="00482C3D">
        <w:tab/>
        <w:t xml:space="preserve"> </w:t>
      </w:r>
      <w:r w:rsidR="00933AA5">
        <w:t xml:space="preserve">Mandatory Workplace Guidance for </w:t>
      </w:r>
      <w:r w:rsidR="00482C3D">
        <w:t>the Use of Filtering Facepiece Respirators to Address Wildfire Smoke</w:t>
      </w:r>
      <w:bookmarkEnd w:id="4"/>
    </w:p>
    <w:p w14:paraId="32EECBEF" w14:textId="77777777" w:rsidR="00933AA5" w:rsidRDefault="00933AA5" w:rsidP="00933AA5">
      <w:r>
        <w:t>This appendix applies only to employers covered by this standard that require NIOSH-approved filtering facepiece respirators, including N95, P95, R95, N99, P99, N100 and P100, to be used by their employees strictly for wildfire smoke exposures when the work location ambient air concentrations of PM2.5 is at or above 200.9 µg/m</w:t>
      </w:r>
      <w:r w:rsidRPr="007850FE">
        <w:rPr>
          <w:vertAlign w:val="superscript"/>
        </w:rPr>
        <w:t>3</w:t>
      </w:r>
      <w:r>
        <w:t xml:space="preserve"> (AQI 251) and below 500.4 µg/m</w:t>
      </w:r>
      <w:r w:rsidRPr="007850FE">
        <w:rPr>
          <w:vertAlign w:val="superscript"/>
        </w:rPr>
        <w:t>3</w:t>
      </w:r>
      <w:r>
        <w:t xml:space="preserve"> (AQI 501).</w:t>
      </w:r>
    </w:p>
    <w:p w14:paraId="0E126B04" w14:textId="77777777" w:rsidR="00933AA5" w:rsidRPr="00791512" w:rsidRDefault="00933AA5" w:rsidP="00933AA5">
      <w:pPr>
        <w:rPr>
          <w:rStyle w:val="Notes"/>
        </w:rPr>
      </w:pPr>
      <w:r w:rsidRPr="00791512">
        <w:rPr>
          <w:rStyle w:val="Notes"/>
          <w:b/>
        </w:rPr>
        <w:t>Note:</w:t>
      </w:r>
      <w:r w:rsidRPr="00791512">
        <w:rPr>
          <w:rStyle w:val="Notes"/>
        </w:rPr>
        <w:t xml:space="preserve"> Employer supplies of NIOSH-approved filtering facepiece respirators for required use under this standard should include an adequate size selection for exposed employees.</w:t>
      </w:r>
    </w:p>
    <w:p w14:paraId="73A02E19" w14:textId="77777777" w:rsidR="00933AA5" w:rsidRDefault="00933AA5" w:rsidP="00933AA5">
      <w:r>
        <w:t>Filtering facepiece respirators are disposable, negative-pressure, air purifying respirators where an integral part of the facepiece or the entire facepiece is made of air contaminant filtering material. This appendix does not apply to other types of respirators, including but not limited to elastomeric tight-fitting respirators, nor does it apply to situations where workers use filtering facepiece respirators for protection against air contaminants other than PM2.5 from wildfire smoke.</w:t>
      </w:r>
    </w:p>
    <w:p w14:paraId="63157761" w14:textId="77777777" w:rsidR="00933AA5" w:rsidRDefault="00933AA5" w:rsidP="00933AA5">
      <w:r>
        <w:t>Employers whose workers are required to wear filtering facepiece respirators to protect against wildfire smoke exposures when workplace ambient air concentrations of PM2.5 is at or above 200.9 µg/m</w:t>
      </w:r>
      <w:r w:rsidRPr="007850FE">
        <w:rPr>
          <w:vertAlign w:val="superscript"/>
        </w:rPr>
        <w:t>3</w:t>
      </w:r>
      <w:r>
        <w:t xml:space="preserve"> (AQI 251) must either develop and implement a respiratory protection program in accordance with the Respiratory Protection Standard (29 CFR 1910.134), or a Wildfire Smoke Respiratory Protection Program in accordance with the following requirements when workplace ambient air concentration of PM2.5 is under 500.4 µg/m</w:t>
      </w:r>
      <w:r w:rsidRPr="007850FE">
        <w:rPr>
          <w:vertAlign w:val="superscript"/>
        </w:rPr>
        <w:t>3</w:t>
      </w:r>
      <w:r>
        <w:t xml:space="preserve"> (AQI 501): </w:t>
      </w:r>
    </w:p>
    <w:p w14:paraId="4991BFA5" w14:textId="77777777" w:rsidR="00933AA5" w:rsidRDefault="00933AA5" w:rsidP="00791512">
      <w:pPr>
        <w:pStyle w:val="List"/>
      </w:pPr>
      <w:r>
        <w:t>(A</w:t>
      </w:r>
      <w:r w:rsidR="00E63785">
        <w:t>)</w:t>
      </w:r>
      <w:r w:rsidR="00E63785">
        <w:tab/>
      </w:r>
      <w:r>
        <w:t>Employee training. Employers must ensure that employees wearing filtering facepiece respirators are trained in the proper use of the respirators, including putting them on and removing them, any limitations on their use, how to care for the respirator, and the ability to demonstrate a seal check as described in section (B) of this appendix.</w:t>
      </w:r>
    </w:p>
    <w:p w14:paraId="7771FCFF" w14:textId="77777777" w:rsidR="00933AA5" w:rsidRDefault="00933AA5" w:rsidP="00791512">
      <w:pPr>
        <w:pStyle w:val="List"/>
      </w:pPr>
      <w:r>
        <w:t>(B</w:t>
      </w:r>
      <w:r w:rsidR="00E63785">
        <w:t>)</w:t>
      </w:r>
      <w:r w:rsidR="00E63785">
        <w:tab/>
      </w:r>
      <w:r>
        <w:t xml:space="preserve">Filtering facepiece respirator user seal check. Each employee who uses a filtering facepiece respirator must perform a user seal check to ensure a sufficient face fit to maximize effectiveness each time the respirator is put on. Either the positive or negative pressure checks listed in this appendix, or the respirator manufacturer’s recommended user seal check method must be used. </w:t>
      </w:r>
    </w:p>
    <w:p w14:paraId="6B03BD97" w14:textId="77777777" w:rsidR="00933AA5" w:rsidRDefault="00933AA5" w:rsidP="00791512">
      <w:pPr>
        <w:pStyle w:val="List2"/>
      </w:pPr>
      <w:r>
        <w:lastRenderedPageBreak/>
        <w:t>1.</w:t>
      </w:r>
      <w:r>
        <w:tab/>
        <w:t>Instructions for positive pressure user seal check. Once you have properly donned the respirator, place your hands over the facepiece, covering as much surface area as possible. Exhale gently into the facepiece. The face fit is considered sufficient if a slight positive pressure is being built up inside the facepiece without feeling air passing between your face and the facepiece. If the particulate respirator has an exhalation valve, then performing a positive pressure check may not be possible. In such cases, a negative pressure check must be performed.</w:t>
      </w:r>
    </w:p>
    <w:p w14:paraId="098D4CE9" w14:textId="77777777" w:rsidR="00933AA5" w:rsidRDefault="00933AA5" w:rsidP="00791512">
      <w:pPr>
        <w:pStyle w:val="List2"/>
      </w:pPr>
      <w:r>
        <w:t>2.</w:t>
      </w:r>
      <w:r>
        <w:tab/>
        <w:t>Instructions for negative pressure user seal check. Negative pressure seal checks are typically conducted on particulate respirators that have exhalation valves. Once you have properly donned the respirator, cover the filter surface with your hands as much as possible and then inhale gently. The face fit is considered sufficient if the facepiece slightly collapses towards your face without feeling air passing between your face and the facepiece.</w:t>
      </w:r>
    </w:p>
    <w:p w14:paraId="0CCC2E49" w14:textId="77777777" w:rsidR="00933AA5" w:rsidRDefault="00933AA5" w:rsidP="00791512">
      <w:pPr>
        <w:pStyle w:val="List2"/>
      </w:pPr>
      <w:r>
        <w:t>3.</w:t>
      </w:r>
      <w:r>
        <w:tab/>
        <w:t>Correcting problems discovered during the seal check. In the case of either type of seal check (positive or negative), if air leaks around the nose, use both hands to readjust the nosepiece by placing your fingertips at the top of the metal nose clip. Slide your fingertips down both sides of the metal strip to more efficiently mold the nose area to the shape of your nose. Readjust the straps along the sides of your head until a proper seal is achieved.</w:t>
      </w:r>
    </w:p>
    <w:p w14:paraId="10185D5F" w14:textId="77777777" w:rsidR="003A3DB6" w:rsidRDefault="00933AA5" w:rsidP="00791512">
      <w:pPr>
        <w:pStyle w:val="List"/>
      </w:pPr>
      <w:r>
        <w:t>(C</w:t>
      </w:r>
      <w:r w:rsidR="00E63785">
        <w:t>)</w:t>
      </w:r>
      <w:r w:rsidR="00E63785">
        <w:tab/>
      </w:r>
      <w:r>
        <w:t>Filtering facepiece respirator storage and replacement. Store, maintain, and replace so that they do not present a health hazard to the user.</w:t>
      </w:r>
    </w:p>
    <w:p w14:paraId="11C2B77E" w14:textId="77777777" w:rsidR="00791512" w:rsidRPr="00791512" w:rsidRDefault="00791512" w:rsidP="00791512"/>
    <w:p w14:paraId="7606162A" w14:textId="77777777" w:rsidR="00933AA5" w:rsidRDefault="00933AA5" w:rsidP="00CD315C">
      <w:pPr>
        <w:sectPr w:rsidR="00933AA5" w:rsidSect="00CD315C">
          <w:footerReference w:type="even" r:id="rId29"/>
          <w:footerReference w:type="first" r:id="rId30"/>
          <w:endnotePr>
            <w:numFmt w:val="decimal"/>
          </w:endnotePr>
          <w:type w:val="oddPage"/>
          <w:pgSz w:w="12240" w:h="15840" w:code="1"/>
          <w:pgMar w:top="1440" w:right="864" w:bottom="1440" w:left="1440" w:header="720" w:footer="720" w:gutter="0"/>
          <w:cols w:space="720"/>
          <w:titlePg/>
          <w:docGrid w:linePitch="360"/>
        </w:sectPr>
      </w:pPr>
    </w:p>
    <w:p w14:paraId="628D4EB4" w14:textId="313484A0" w:rsidR="00933AA5" w:rsidRPr="007D1035" w:rsidRDefault="006270F9" w:rsidP="00EB5DBB">
      <w:pPr>
        <w:pStyle w:val="Heading1"/>
        <w:tabs>
          <w:tab w:val="clear" w:pos="1620"/>
          <w:tab w:val="left" w:pos="1800"/>
        </w:tabs>
      </w:pPr>
      <w:bookmarkStart w:id="5" w:name="_Toc109812496"/>
      <w:r>
        <w:rPr>
          <w:noProof/>
        </w:rPr>
        <w:lastRenderedPageBreak/>
        <mc:AlternateContent>
          <mc:Choice Requires="wps">
            <w:drawing>
              <wp:anchor distT="0" distB="0" distL="114300" distR="114300" simplePos="0" relativeHeight="251667456" behindDoc="1" locked="0" layoutInCell="1" allowOverlap="1" wp14:anchorId="46D0BDB3" wp14:editId="50E2F2AC">
                <wp:simplePos x="0" y="0"/>
                <wp:positionH relativeFrom="margin">
                  <wp:posOffset>2125980</wp:posOffset>
                </wp:positionH>
                <wp:positionV relativeFrom="line">
                  <wp:posOffset>-209550</wp:posOffset>
                </wp:positionV>
                <wp:extent cx="2028825" cy="247650"/>
                <wp:effectExtent l="0" t="0" r="28575" b="19050"/>
                <wp:wrapNone/>
                <wp:docPr id="226124743" name="Rectangle: Rounded Corners 2">
                  <a:hlinkClick xmlns:a="http://schemas.openxmlformats.org/drawingml/2006/main" r:id="rId21" tooltip="Link to note about AQI index changes"/>
                </wp:docPr>
                <wp:cNvGraphicFramePr/>
                <a:graphic xmlns:a="http://schemas.openxmlformats.org/drawingml/2006/main">
                  <a:graphicData uri="http://schemas.microsoft.com/office/word/2010/wordprocessingShape">
                    <wps:wsp>
                      <wps:cNvSpPr/>
                      <wps:spPr>
                        <a:xfrm>
                          <a:off x="0" y="0"/>
                          <a:ext cx="2028825" cy="247650"/>
                        </a:xfrm>
                        <a:prstGeom prst="roundRect">
                          <a:avLst/>
                        </a:prstGeom>
                        <a:gradFill flip="none" rotWithShape="1">
                          <a:gsLst>
                            <a:gs pos="0">
                              <a:schemeClr val="accent6">
                                <a:lumMod val="60000"/>
                                <a:lumOff val="40000"/>
                              </a:schemeClr>
                            </a:gs>
                            <a:gs pos="48000">
                              <a:schemeClr val="accent6">
                                <a:lumMod val="40000"/>
                                <a:lumOff val="60000"/>
                              </a:schemeClr>
                            </a:gs>
                            <a:gs pos="100000">
                              <a:schemeClr val="accent6">
                                <a:lumMod val="20000"/>
                                <a:lumOff val="80000"/>
                              </a:schemeClr>
                            </a:gs>
                          </a:gsLst>
                          <a:lin ang="16200000" scaled="1"/>
                          <a:tileRect/>
                        </a:gradFill>
                        <a:ln w="12700">
                          <a:solidFill>
                            <a:schemeClr val="accent3"/>
                          </a:solidFill>
                        </a:ln>
                      </wps:spPr>
                      <wps:style>
                        <a:lnRef idx="0">
                          <a:scrgbClr r="0" g="0" b="0"/>
                        </a:lnRef>
                        <a:fillRef idx="0">
                          <a:scrgbClr r="0" g="0" b="0"/>
                        </a:fillRef>
                        <a:effectRef idx="0">
                          <a:scrgbClr r="0" g="0" b="0"/>
                        </a:effectRef>
                        <a:fontRef idx="minor">
                          <a:schemeClr val="lt1"/>
                        </a:fontRef>
                      </wps:style>
                      <wps:txbx>
                        <w:txbxContent>
                          <w:p w14:paraId="49410C10"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wps:txbx>
                      <wps:bodyPr rot="0" spcFirstLastPara="0" vertOverflow="overflow" horzOverflow="overflow" vert="horz" wrap="square" lIns="27432" tIns="27432" rIns="27432"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0BDB3" id="_x0000_s1030" href="#NOTEAQI" title="Link to note about AQI index changes" style="position:absolute;margin-left:167.4pt;margin-top:-16.5pt;width:159.75pt;height:1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" o:button="t" fillcolor="#8dd873 [1945]" strokecolor="#196b24 [3206]" strokeweight="1pt">
                <v:fill color2="#d9f2d0 [665]" rotate="t" o:detectmouseclick="t" angle="180" colors="0 #8ed973;31457f #b4e5a2;1 #d9f2d0" focus="100%" type="gradient"/>
                <v:textbox inset="2.16pt,2.16pt,2.16pt,1.44pt">
                  <w:txbxContent>
                    <w:p w14:paraId="49410C10" w14:textId="77777777" w:rsidR="006270F9" w:rsidRPr="009D7E9E" w:rsidRDefault="006270F9" w:rsidP="006270F9">
                      <w:pPr>
                        <w:spacing w:after="0"/>
                        <w:jc w:val="center"/>
                        <w:rPr>
                          <w:rFonts w:ascii="Arial" w:hAnsi="Arial" w:cs="Arial"/>
                          <w:color w:val="0000CC"/>
                          <w:sz w:val="22"/>
                          <w:szCs w:val="22"/>
                        </w:rPr>
                      </w:pPr>
                      <w:r w:rsidRPr="009D7E9E">
                        <w:rPr>
                          <w:rFonts w:ascii="Arial" w:hAnsi="Arial" w:cs="Arial"/>
                          <w:color w:val="0000CC"/>
                          <w:sz w:val="22"/>
                          <w:szCs w:val="22"/>
                        </w:rPr>
                        <w:t xml:space="preserve">See Note about AQI update </w:t>
                      </w:r>
                      <w:r w:rsidRPr="009D7E9E">
                        <w:rPr>
                          <w:rFonts w:ascii="Arial" w:hAnsi="Arial" w:cs="Arial"/>
                          <w:color w:val="FFFFFF" w:themeColor="background1"/>
                          <w:sz w:val="22"/>
                          <w:szCs w:val="22"/>
                          <w:shd w:val="clear" w:color="auto" w:fill="0000CC"/>
                        </w:rPr>
                        <w:sym w:font="Webdings" w:char="F069"/>
                      </w:r>
                    </w:p>
                  </w:txbxContent>
                </v:textbox>
                <w10:wrap anchorx="margin" anchory="line"/>
              </v:roundrect>
            </w:pict>
          </mc:Fallback>
        </mc:AlternateContent>
      </w:r>
      <w:r w:rsidR="00933AA5" w:rsidRPr="007D1035">
        <w:t>Appendix B:</w:t>
      </w:r>
      <w:r w:rsidR="00482C3D">
        <w:tab/>
      </w:r>
      <w:r w:rsidR="00933AA5" w:rsidRPr="007D1035">
        <w:t>Information for Wildfire Smoke Protection</w:t>
      </w:r>
      <w:bookmarkEnd w:id="5"/>
      <w:r w:rsidR="00933AA5" w:rsidRPr="007D1035">
        <w:t xml:space="preserve"> </w:t>
      </w:r>
    </w:p>
    <w:p w14:paraId="62113C8F" w14:textId="77777777" w:rsidR="00933AA5" w:rsidRPr="007D1035" w:rsidRDefault="00933AA5" w:rsidP="008B09E6">
      <w:pPr>
        <w:pStyle w:val="Caption"/>
      </w:pPr>
      <w:r w:rsidRPr="007D1035">
        <w:t xml:space="preserve">Table 1: Air Quality Index (AQI) Values and Equivalent Concentrations for PM2.5, </w:t>
      </w:r>
    </w:p>
    <w:p w14:paraId="4A4D2CBD" w14:textId="77777777" w:rsidR="00933AA5" w:rsidRPr="007D1035" w:rsidRDefault="00933AA5" w:rsidP="008B09E6">
      <w:pPr>
        <w:pStyle w:val="Caption"/>
      </w:pPr>
      <w:r w:rsidRPr="007D1035">
        <w:t>and 5-3-1 Visibility Index Values</w:t>
      </w:r>
    </w:p>
    <w:tbl>
      <w:tblPr>
        <w:tblStyle w:val="TableGrid"/>
        <w:tblW w:w="0" w:type="auto"/>
        <w:tblBorders>
          <w:top w:val="single" w:sz="4" w:space="0" w:color="7F7F7F" w:themeColor="text1" w:themeTint="80"/>
          <w:left w:val="none" w:sz="0" w:space="0" w:color="auto"/>
          <w:bottom w:val="single" w:sz="4" w:space="0" w:color="7F7F7F" w:themeColor="text1" w:themeTint="80"/>
          <w:right w:val="none" w:sz="0" w:space="0" w:color="auto"/>
          <w:insideH w:val="dashed" w:sz="4" w:space="0" w:color="7F7F7F" w:themeColor="text1" w:themeTint="80"/>
          <w:insideV w:val="dashed" w:sz="4" w:space="0" w:color="7F7F7F" w:themeColor="text1" w:themeTint="80"/>
        </w:tblBorders>
        <w:tblLook w:val="04A0" w:firstRow="1" w:lastRow="0" w:firstColumn="1" w:lastColumn="0" w:noHBand="0" w:noVBand="1"/>
      </w:tblPr>
      <w:tblGrid>
        <w:gridCol w:w="3055"/>
        <w:gridCol w:w="3060"/>
        <w:gridCol w:w="3150"/>
      </w:tblGrid>
      <w:tr w:rsidR="00933AA5" w:rsidRPr="00EB5DBB" w14:paraId="675E0A67" w14:textId="77777777" w:rsidTr="00EB5DBB">
        <w:trPr>
          <w:tblHeader/>
        </w:trPr>
        <w:tc>
          <w:tcPr>
            <w:tcW w:w="3055" w:type="dxa"/>
            <w:shd w:val="clear" w:color="auto" w:fill="D9D9D9" w:themeFill="background1" w:themeFillShade="D9"/>
            <w:vAlign w:val="center"/>
          </w:tcPr>
          <w:p w14:paraId="0DBA32FE" w14:textId="77777777" w:rsidR="00933AA5" w:rsidRPr="00EB5DBB" w:rsidRDefault="00933AA5" w:rsidP="00EB5DBB">
            <w:pPr>
              <w:pStyle w:val="Tabletext"/>
              <w:rPr>
                <w:b/>
                <w:sz w:val="22"/>
              </w:rPr>
            </w:pPr>
            <w:r w:rsidRPr="00EB5DBB">
              <w:rPr>
                <w:b/>
                <w:sz w:val="22"/>
              </w:rPr>
              <w:t>AQI Values</w:t>
            </w:r>
          </w:p>
        </w:tc>
        <w:tc>
          <w:tcPr>
            <w:tcW w:w="3060" w:type="dxa"/>
            <w:shd w:val="clear" w:color="auto" w:fill="D9D9D9" w:themeFill="background1" w:themeFillShade="D9"/>
            <w:vAlign w:val="center"/>
          </w:tcPr>
          <w:p w14:paraId="3B42F611" w14:textId="77777777" w:rsidR="00933AA5" w:rsidRPr="00EB5DBB" w:rsidRDefault="00933AA5" w:rsidP="00EB5DBB">
            <w:pPr>
              <w:pStyle w:val="Tabletext"/>
              <w:rPr>
                <w:b/>
                <w:sz w:val="22"/>
              </w:rPr>
            </w:pPr>
            <w:r w:rsidRPr="00EB5DBB">
              <w:rPr>
                <w:b/>
                <w:sz w:val="22"/>
              </w:rPr>
              <w:t>PM2.5 Concentration</w:t>
            </w:r>
          </w:p>
          <w:p w14:paraId="12E6C212" w14:textId="77777777" w:rsidR="00933AA5" w:rsidRPr="00EB5DBB" w:rsidRDefault="00933AA5" w:rsidP="00EB5DBB">
            <w:pPr>
              <w:pStyle w:val="Tabletext"/>
              <w:rPr>
                <w:b/>
                <w:sz w:val="22"/>
              </w:rPr>
            </w:pPr>
            <w:r w:rsidRPr="00EB5DBB">
              <w:rPr>
                <w:b/>
                <w:sz w:val="22"/>
              </w:rPr>
              <w:t>in µg/m</w:t>
            </w:r>
            <w:r w:rsidRPr="00EB5DBB">
              <w:rPr>
                <w:b/>
                <w:sz w:val="22"/>
                <w:vertAlign w:val="superscript"/>
              </w:rPr>
              <w:t>3</w:t>
            </w:r>
          </w:p>
        </w:tc>
        <w:tc>
          <w:tcPr>
            <w:tcW w:w="3150" w:type="dxa"/>
            <w:shd w:val="clear" w:color="auto" w:fill="D9D9D9" w:themeFill="background1" w:themeFillShade="D9"/>
            <w:vAlign w:val="center"/>
          </w:tcPr>
          <w:p w14:paraId="39AFE27D" w14:textId="77777777" w:rsidR="00933AA5" w:rsidRPr="00EB5DBB" w:rsidRDefault="00933AA5" w:rsidP="00EB5DBB">
            <w:pPr>
              <w:pStyle w:val="Tabletext"/>
              <w:rPr>
                <w:b/>
                <w:sz w:val="22"/>
              </w:rPr>
            </w:pPr>
            <w:r w:rsidRPr="00EB5DBB">
              <w:rPr>
                <w:b/>
                <w:sz w:val="22"/>
              </w:rPr>
              <w:t>Visibility Index Values</w:t>
            </w:r>
          </w:p>
          <w:p w14:paraId="2B90A6DC" w14:textId="77777777" w:rsidR="00933AA5" w:rsidRPr="00EB5DBB" w:rsidRDefault="00933AA5" w:rsidP="00EB5DBB">
            <w:pPr>
              <w:pStyle w:val="Tabletext"/>
              <w:rPr>
                <w:b/>
                <w:sz w:val="22"/>
              </w:rPr>
            </w:pPr>
            <w:r w:rsidRPr="00EB5DBB">
              <w:rPr>
                <w:b/>
                <w:sz w:val="22"/>
              </w:rPr>
              <w:t>(How far you can see)</w:t>
            </w:r>
          </w:p>
        </w:tc>
      </w:tr>
      <w:tr w:rsidR="00933AA5" w:rsidRPr="00EB5DBB" w14:paraId="23C3EDBC" w14:textId="77777777" w:rsidTr="00EB5DBB">
        <w:tc>
          <w:tcPr>
            <w:tcW w:w="3055" w:type="dxa"/>
            <w:vAlign w:val="center"/>
          </w:tcPr>
          <w:p w14:paraId="1DC2125F" w14:textId="77777777" w:rsidR="00933AA5" w:rsidRPr="00EB5DBB" w:rsidRDefault="00933AA5" w:rsidP="00EB5DBB">
            <w:pPr>
              <w:pStyle w:val="Tabletext"/>
              <w:rPr>
                <w:sz w:val="22"/>
              </w:rPr>
            </w:pPr>
            <w:r w:rsidRPr="00EB5DBB">
              <w:rPr>
                <w:sz w:val="22"/>
              </w:rPr>
              <w:t>0 – 50</w:t>
            </w:r>
          </w:p>
        </w:tc>
        <w:tc>
          <w:tcPr>
            <w:tcW w:w="3060" w:type="dxa"/>
            <w:vAlign w:val="center"/>
          </w:tcPr>
          <w:p w14:paraId="39479124" w14:textId="77777777" w:rsidR="00933AA5" w:rsidRPr="00EB5DBB" w:rsidRDefault="00933AA5" w:rsidP="00EB5DBB">
            <w:pPr>
              <w:pStyle w:val="Tabletext"/>
              <w:rPr>
                <w:sz w:val="22"/>
              </w:rPr>
            </w:pPr>
            <w:r w:rsidRPr="00EB5DBB">
              <w:rPr>
                <w:sz w:val="22"/>
              </w:rPr>
              <w:t>0.0 – 12.0</w:t>
            </w:r>
          </w:p>
        </w:tc>
        <w:tc>
          <w:tcPr>
            <w:tcW w:w="3150" w:type="dxa"/>
            <w:vAlign w:val="center"/>
          </w:tcPr>
          <w:p w14:paraId="0997E8A0" w14:textId="77777777" w:rsidR="00933AA5" w:rsidRPr="00EB5DBB" w:rsidRDefault="00933AA5" w:rsidP="00EB5DBB">
            <w:pPr>
              <w:pStyle w:val="Tabletext"/>
              <w:rPr>
                <w:sz w:val="22"/>
              </w:rPr>
            </w:pPr>
            <w:r w:rsidRPr="00EB5DBB">
              <w:rPr>
                <w:sz w:val="22"/>
              </w:rPr>
              <w:t>over 15 miles</w:t>
            </w:r>
          </w:p>
        </w:tc>
      </w:tr>
      <w:tr w:rsidR="00933AA5" w:rsidRPr="00EB5DBB" w14:paraId="636871AE" w14:textId="77777777" w:rsidTr="00EB5DBB">
        <w:tc>
          <w:tcPr>
            <w:tcW w:w="3055" w:type="dxa"/>
            <w:vAlign w:val="center"/>
          </w:tcPr>
          <w:p w14:paraId="2E841433" w14:textId="77777777" w:rsidR="00933AA5" w:rsidRPr="00EB5DBB" w:rsidRDefault="00933AA5" w:rsidP="00EB5DBB">
            <w:pPr>
              <w:pStyle w:val="Tabletext"/>
              <w:rPr>
                <w:sz w:val="22"/>
              </w:rPr>
            </w:pPr>
            <w:r w:rsidRPr="00EB5DBB">
              <w:rPr>
                <w:sz w:val="22"/>
              </w:rPr>
              <w:t>51 – 100</w:t>
            </w:r>
          </w:p>
        </w:tc>
        <w:tc>
          <w:tcPr>
            <w:tcW w:w="3060" w:type="dxa"/>
            <w:vAlign w:val="center"/>
          </w:tcPr>
          <w:p w14:paraId="1C07A645" w14:textId="77777777" w:rsidR="00933AA5" w:rsidRPr="00EB5DBB" w:rsidRDefault="00933AA5" w:rsidP="00EB5DBB">
            <w:pPr>
              <w:pStyle w:val="Tabletext"/>
              <w:rPr>
                <w:sz w:val="22"/>
              </w:rPr>
            </w:pPr>
            <w:r w:rsidRPr="00EB5DBB">
              <w:rPr>
                <w:sz w:val="22"/>
              </w:rPr>
              <w:t>12.1 – 35.4</w:t>
            </w:r>
          </w:p>
        </w:tc>
        <w:tc>
          <w:tcPr>
            <w:tcW w:w="3150" w:type="dxa"/>
            <w:vAlign w:val="center"/>
          </w:tcPr>
          <w:p w14:paraId="6C827251" w14:textId="77777777" w:rsidR="00933AA5" w:rsidRPr="00EB5DBB" w:rsidRDefault="00933AA5" w:rsidP="00EB5DBB">
            <w:pPr>
              <w:pStyle w:val="Tabletext"/>
              <w:rPr>
                <w:sz w:val="22"/>
              </w:rPr>
            </w:pPr>
            <w:r w:rsidRPr="00EB5DBB">
              <w:rPr>
                <w:sz w:val="22"/>
              </w:rPr>
              <w:t>5 – 15 miles</w:t>
            </w:r>
          </w:p>
        </w:tc>
      </w:tr>
      <w:tr w:rsidR="00933AA5" w:rsidRPr="00EB5DBB" w14:paraId="548A89E9" w14:textId="77777777" w:rsidTr="00EB5DBB">
        <w:tc>
          <w:tcPr>
            <w:tcW w:w="3055" w:type="dxa"/>
            <w:vAlign w:val="center"/>
          </w:tcPr>
          <w:p w14:paraId="38DDFB8D" w14:textId="77777777" w:rsidR="00933AA5" w:rsidRPr="00EB5DBB" w:rsidRDefault="00933AA5" w:rsidP="00EB5DBB">
            <w:pPr>
              <w:pStyle w:val="Tabletext"/>
              <w:rPr>
                <w:sz w:val="22"/>
              </w:rPr>
            </w:pPr>
            <w:r w:rsidRPr="00EB5DBB">
              <w:rPr>
                <w:sz w:val="22"/>
              </w:rPr>
              <w:t>101 – 150</w:t>
            </w:r>
          </w:p>
        </w:tc>
        <w:tc>
          <w:tcPr>
            <w:tcW w:w="3060" w:type="dxa"/>
            <w:vAlign w:val="center"/>
          </w:tcPr>
          <w:p w14:paraId="370813CF" w14:textId="77777777" w:rsidR="00933AA5" w:rsidRPr="00EB5DBB" w:rsidRDefault="00933AA5" w:rsidP="00EB5DBB">
            <w:pPr>
              <w:pStyle w:val="Tabletext"/>
              <w:rPr>
                <w:sz w:val="22"/>
              </w:rPr>
            </w:pPr>
            <w:r w:rsidRPr="00EB5DBB">
              <w:rPr>
                <w:sz w:val="22"/>
              </w:rPr>
              <w:t>35.5 – 55.4</w:t>
            </w:r>
          </w:p>
        </w:tc>
        <w:tc>
          <w:tcPr>
            <w:tcW w:w="3150" w:type="dxa"/>
            <w:vAlign w:val="center"/>
          </w:tcPr>
          <w:p w14:paraId="4BECBFE5" w14:textId="77777777" w:rsidR="00933AA5" w:rsidRPr="00EB5DBB" w:rsidRDefault="00933AA5" w:rsidP="00EB5DBB">
            <w:pPr>
              <w:pStyle w:val="Tabletext"/>
              <w:rPr>
                <w:sz w:val="22"/>
              </w:rPr>
            </w:pPr>
            <w:r w:rsidRPr="00EB5DBB">
              <w:rPr>
                <w:sz w:val="22"/>
              </w:rPr>
              <w:t>3 – 5 miles</w:t>
            </w:r>
          </w:p>
        </w:tc>
      </w:tr>
      <w:tr w:rsidR="00933AA5" w:rsidRPr="00EB5DBB" w14:paraId="7D093601" w14:textId="77777777" w:rsidTr="00EB5DBB">
        <w:tc>
          <w:tcPr>
            <w:tcW w:w="3055" w:type="dxa"/>
            <w:vAlign w:val="center"/>
          </w:tcPr>
          <w:p w14:paraId="61D981B0" w14:textId="77777777" w:rsidR="00933AA5" w:rsidRPr="00EB5DBB" w:rsidRDefault="00933AA5" w:rsidP="00EB5DBB">
            <w:pPr>
              <w:pStyle w:val="Tabletext"/>
              <w:rPr>
                <w:sz w:val="22"/>
              </w:rPr>
            </w:pPr>
            <w:r w:rsidRPr="00EB5DBB">
              <w:rPr>
                <w:sz w:val="22"/>
              </w:rPr>
              <w:t>151 – 200</w:t>
            </w:r>
          </w:p>
        </w:tc>
        <w:tc>
          <w:tcPr>
            <w:tcW w:w="3060" w:type="dxa"/>
            <w:vAlign w:val="center"/>
          </w:tcPr>
          <w:p w14:paraId="7051392A" w14:textId="77777777" w:rsidR="00933AA5" w:rsidRPr="00EB5DBB" w:rsidRDefault="00933AA5" w:rsidP="00EB5DBB">
            <w:pPr>
              <w:pStyle w:val="Tabletext"/>
              <w:rPr>
                <w:sz w:val="22"/>
              </w:rPr>
            </w:pPr>
            <w:r w:rsidRPr="00EB5DBB">
              <w:rPr>
                <w:sz w:val="22"/>
              </w:rPr>
              <w:t>55.5 – 150.4</w:t>
            </w:r>
          </w:p>
        </w:tc>
        <w:tc>
          <w:tcPr>
            <w:tcW w:w="3150" w:type="dxa"/>
            <w:vAlign w:val="center"/>
          </w:tcPr>
          <w:p w14:paraId="770B069A" w14:textId="77777777" w:rsidR="00933AA5" w:rsidRPr="00EB5DBB" w:rsidRDefault="00933AA5" w:rsidP="00EB5DBB">
            <w:pPr>
              <w:pStyle w:val="Tabletext"/>
              <w:rPr>
                <w:sz w:val="22"/>
              </w:rPr>
            </w:pPr>
            <w:r w:rsidRPr="00EB5DBB">
              <w:rPr>
                <w:sz w:val="22"/>
              </w:rPr>
              <w:t>1 – 3 miles</w:t>
            </w:r>
          </w:p>
        </w:tc>
      </w:tr>
      <w:tr w:rsidR="00933AA5" w:rsidRPr="00EB5DBB" w14:paraId="160B0A0A" w14:textId="77777777" w:rsidTr="00EB5DBB">
        <w:tc>
          <w:tcPr>
            <w:tcW w:w="3055" w:type="dxa"/>
            <w:vAlign w:val="center"/>
          </w:tcPr>
          <w:p w14:paraId="6569D280" w14:textId="77777777" w:rsidR="00933AA5" w:rsidRPr="00EB5DBB" w:rsidRDefault="00933AA5" w:rsidP="00EB5DBB">
            <w:pPr>
              <w:pStyle w:val="Tabletext"/>
              <w:rPr>
                <w:sz w:val="22"/>
              </w:rPr>
            </w:pPr>
            <w:r w:rsidRPr="00EB5DBB">
              <w:rPr>
                <w:sz w:val="22"/>
              </w:rPr>
              <w:t>201 – 300</w:t>
            </w:r>
          </w:p>
        </w:tc>
        <w:tc>
          <w:tcPr>
            <w:tcW w:w="3060" w:type="dxa"/>
            <w:vAlign w:val="center"/>
          </w:tcPr>
          <w:p w14:paraId="27BD685F" w14:textId="77777777" w:rsidR="00933AA5" w:rsidRPr="00EB5DBB" w:rsidRDefault="00933AA5" w:rsidP="00EB5DBB">
            <w:pPr>
              <w:pStyle w:val="Tabletext"/>
              <w:rPr>
                <w:sz w:val="22"/>
              </w:rPr>
            </w:pPr>
            <w:r w:rsidRPr="00EB5DBB">
              <w:rPr>
                <w:sz w:val="22"/>
              </w:rPr>
              <w:t>150.5 – 250.4</w:t>
            </w:r>
          </w:p>
        </w:tc>
        <w:tc>
          <w:tcPr>
            <w:tcW w:w="3150" w:type="dxa"/>
            <w:vAlign w:val="center"/>
          </w:tcPr>
          <w:p w14:paraId="2859BF42" w14:textId="77777777" w:rsidR="00933AA5" w:rsidRPr="00EB5DBB" w:rsidRDefault="00933AA5" w:rsidP="00EB5DBB">
            <w:pPr>
              <w:pStyle w:val="Tabletext"/>
              <w:rPr>
                <w:sz w:val="22"/>
              </w:rPr>
            </w:pPr>
            <w:r w:rsidRPr="00EB5DBB">
              <w:rPr>
                <w:sz w:val="22"/>
              </w:rPr>
              <w:t>1 mile</w:t>
            </w:r>
          </w:p>
        </w:tc>
      </w:tr>
      <w:tr w:rsidR="00933AA5" w:rsidRPr="00EB5DBB" w14:paraId="553E7027" w14:textId="77777777" w:rsidTr="00EB5DBB">
        <w:tc>
          <w:tcPr>
            <w:tcW w:w="3055" w:type="dxa"/>
            <w:vAlign w:val="center"/>
          </w:tcPr>
          <w:p w14:paraId="408CEAEA" w14:textId="77777777" w:rsidR="00933AA5" w:rsidRPr="00EB5DBB" w:rsidRDefault="00933AA5" w:rsidP="00EB5DBB">
            <w:pPr>
              <w:pStyle w:val="Tabletext"/>
              <w:rPr>
                <w:sz w:val="22"/>
              </w:rPr>
            </w:pPr>
            <w:r w:rsidRPr="00EB5DBB">
              <w:rPr>
                <w:sz w:val="22"/>
              </w:rPr>
              <w:t>301 and higher</w:t>
            </w:r>
          </w:p>
        </w:tc>
        <w:tc>
          <w:tcPr>
            <w:tcW w:w="3060" w:type="dxa"/>
            <w:vAlign w:val="center"/>
          </w:tcPr>
          <w:p w14:paraId="791CDF35" w14:textId="77777777" w:rsidR="00933AA5" w:rsidRPr="00EB5DBB" w:rsidRDefault="00933AA5" w:rsidP="00EB5DBB">
            <w:pPr>
              <w:pStyle w:val="Tabletext"/>
              <w:rPr>
                <w:sz w:val="22"/>
              </w:rPr>
            </w:pPr>
            <w:r w:rsidRPr="00EB5DBB">
              <w:rPr>
                <w:sz w:val="22"/>
              </w:rPr>
              <w:t>250.5 and higher</w:t>
            </w:r>
          </w:p>
        </w:tc>
        <w:tc>
          <w:tcPr>
            <w:tcW w:w="3150" w:type="dxa"/>
            <w:vAlign w:val="center"/>
          </w:tcPr>
          <w:p w14:paraId="63ABEA0A" w14:textId="77777777" w:rsidR="00933AA5" w:rsidRPr="00EB5DBB" w:rsidRDefault="00933AA5" w:rsidP="00EB5DBB">
            <w:pPr>
              <w:pStyle w:val="Tabletext"/>
              <w:rPr>
                <w:sz w:val="22"/>
              </w:rPr>
            </w:pPr>
            <w:r w:rsidRPr="00EB5DBB">
              <w:rPr>
                <w:sz w:val="22"/>
              </w:rPr>
              <w:t>less than 1 mile</w:t>
            </w:r>
          </w:p>
        </w:tc>
      </w:tr>
    </w:tbl>
    <w:p w14:paraId="57615EEF" w14:textId="77777777" w:rsidR="00933AA5" w:rsidRPr="00EB5DBB" w:rsidRDefault="00933AA5" w:rsidP="00EB5DBB">
      <w:pPr>
        <w:spacing w:before="120"/>
        <w:rPr>
          <w:rStyle w:val="Notes"/>
        </w:rPr>
      </w:pPr>
      <w:r w:rsidRPr="00EB5DBB">
        <w:rPr>
          <w:rStyle w:val="Notes"/>
          <w:b/>
        </w:rPr>
        <w:t>Note:</w:t>
      </w:r>
      <w:r w:rsidRPr="00EB5DBB">
        <w:rPr>
          <w:rStyle w:val="Notes"/>
        </w:rPr>
        <w:t xml:space="preserve"> The AQI, as used in this standard, is a recognized proxy to identify worker exposure to PM2.5 for which traditional occupational exposure limits have not been established. The EPA AQI risk category labels were specifically developed to advise the public of the community health risk levels associated with air quality conditions in a general population setting. The AQI calculation allows for a measurement that is easily accessible to both employers and employees. </w:t>
      </w:r>
    </w:p>
    <w:p w14:paraId="4D83DDB3" w14:textId="77777777" w:rsidR="00933AA5" w:rsidRPr="00EB5DBB" w:rsidRDefault="00933AA5" w:rsidP="00482C3D">
      <w:pPr>
        <w:rPr>
          <w:rStyle w:val="Notes"/>
        </w:rPr>
      </w:pPr>
      <w:r w:rsidRPr="00EB5DBB">
        <w:rPr>
          <w:rStyle w:val="Notes"/>
          <w:b/>
        </w:rPr>
        <w:t>Note:</w:t>
      </w:r>
      <w:r w:rsidRPr="00EB5DBB">
        <w:rPr>
          <w:rStyle w:val="Notes"/>
        </w:rPr>
        <w:t xml:space="preserve"> When estimating the current AQI value by using the 5-3-1 Visibility Index, determine the limit of your visual range by looking for distant targets or familiar landmarks such as mountains, mesas, hills, or buildings at known distances (miles). The visual range is that point at which these targets are no longer visible. Ideally, the viewing of any distance target should be made with the sun behind you. Looking into the sun or at an angle increases the ability of sunlight to reflect off of the smoke, and thus making the visibility estimate less reliable.</w:t>
      </w:r>
    </w:p>
    <w:p w14:paraId="56DD04ED" w14:textId="77777777" w:rsidR="00933AA5" w:rsidRPr="007D1035" w:rsidRDefault="00933AA5" w:rsidP="00EB5DBB">
      <w:pPr>
        <w:pStyle w:val="Caption"/>
      </w:pPr>
      <w:r w:rsidRPr="007D1035">
        <w:t>Table 2: Protection from Wildfire Smoke Standard Requirements by AQI Value</w:t>
      </w:r>
    </w:p>
    <w:tbl>
      <w:tblPr>
        <w:tblStyle w:val="TableGrid"/>
        <w:tblW w:w="5000" w:type="pct"/>
        <w:tblBorders>
          <w:top w:val="single" w:sz="4" w:space="0" w:color="7F7F7F" w:themeColor="text1" w:themeTint="80"/>
          <w:left w:val="none" w:sz="0" w:space="0" w:color="auto"/>
          <w:bottom w:val="single" w:sz="4" w:space="0" w:color="7F7F7F" w:themeColor="text1" w:themeTint="80"/>
          <w:right w:val="none" w:sz="0" w:space="0" w:color="auto"/>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1710"/>
        <w:gridCol w:w="8226"/>
      </w:tblGrid>
      <w:tr w:rsidR="00933AA5" w:rsidRPr="00EB5DBB" w14:paraId="4D7871D7" w14:textId="77777777" w:rsidTr="00EB5DBB">
        <w:trPr>
          <w:tblHeader/>
        </w:trPr>
        <w:tc>
          <w:tcPr>
            <w:tcW w:w="1710" w:type="dxa"/>
            <w:shd w:val="clear" w:color="auto" w:fill="D9D9D9" w:themeFill="background1" w:themeFillShade="D9"/>
            <w:vAlign w:val="center"/>
          </w:tcPr>
          <w:p w14:paraId="7812DD53" w14:textId="77777777" w:rsidR="00933AA5" w:rsidRPr="00EB5DBB" w:rsidRDefault="00933AA5" w:rsidP="00EB5DBB">
            <w:pPr>
              <w:pStyle w:val="Tabletext"/>
              <w:spacing w:after="0"/>
              <w:rPr>
                <w:b/>
                <w:sz w:val="22"/>
                <w:szCs w:val="22"/>
              </w:rPr>
            </w:pPr>
            <w:r w:rsidRPr="00EB5DBB">
              <w:rPr>
                <w:b/>
                <w:sz w:val="22"/>
                <w:szCs w:val="22"/>
              </w:rPr>
              <w:t>AQI Value</w:t>
            </w:r>
          </w:p>
        </w:tc>
        <w:tc>
          <w:tcPr>
            <w:tcW w:w="8226" w:type="dxa"/>
            <w:shd w:val="clear" w:color="auto" w:fill="D9D9D9" w:themeFill="background1" w:themeFillShade="D9"/>
            <w:vAlign w:val="center"/>
          </w:tcPr>
          <w:p w14:paraId="06C1A235" w14:textId="77777777" w:rsidR="00933AA5" w:rsidRPr="00EB5DBB" w:rsidRDefault="00933AA5" w:rsidP="00EB5DBB">
            <w:pPr>
              <w:spacing w:after="0"/>
              <w:jc w:val="center"/>
              <w:rPr>
                <w:rFonts w:cstheme="minorHAnsi"/>
                <w:b/>
              </w:rPr>
            </w:pPr>
            <w:r w:rsidRPr="00EB5DBB">
              <w:rPr>
                <w:rFonts w:cstheme="minorHAnsi"/>
                <w:b/>
              </w:rPr>
              <w:t>General Requirements</w:t>
            </w:r>
          </w:p>
        </w:tc>
      </w:tr>
      <w:tr w:rsidR="00933AA5" w:rsidRPr="007D1035" w14:paraId="342C82DD" w14:textId="77777777" w:rsidTr="00EB5DBB">
        <w:tc>
          <w:tcPr>
            <w:tcW w:w="1710" w:type="dxa"/>
            <w:vAlign w:val="center"/>
          </w:tcPr>
          <w:p w14:paraId="20B433DA" w14:textId="77777777" w:rsidR="00933AA5" w:rsidRPr="00EB5DBB" w:rsidRDefault="00933AA5" w:rsidP="00EB5DBB">
            <w:pPr>
              <w:pStyle w:val="Tabletext"/>
              <w:spacing w:after="0" w:line="240" w:lineRule="auto"/>
              <w:rPr>
                <w:sz w:val="22"/>
                <w:szCs w:val="22"/>
              </w:rPr>
            </w:pPr>
            <w:r w:rsidRPr="00EB5DBB">
              <w:rPr>
                <w:sz w:val="22"/>
                <w:szCs w:val="22"/>
              </w:rPr>
              <w:t>101 - 250</w:t>
            </w:r>
          </w:p>
        </w:tc>
        <w:tc>
          <w:tcPr>
            <w:tcW w:w="8226" w:type="dxa"/>
            <w:vAlign w:val="center"/>
          </w:tcPr>
          <w:p w14:paraId="3C35F781" w14:textId="77777777" w:rsidR="00933AA5" w:rsidRPr="007D1035" w:rsidRDefault="00933AA5" w:rsidP="00EB5DBB">
            <w:pPr>
              <w:pStyle w:val="ListParagraph"/>
              <w:keepLines w:val="0"/>
              <w:numPr>
                <w:ilvl w:val="0"/>
                <w:numId w:val="48"/>
              </w:numPr>
              <w:spacing w:after="0" w:line="240" w:lineRule="auto"/>
              <w:ind w:left="436"/>
              <w:rPr>
                <w:rFonts w:cstheme="minorHAnsi"/>
                <w:sz w:val="22"/>
                <w:szCs w:val="22"/>
              </w:rPr>
            </w:pPr>
            <w:r w:rsidRPr="007D1035">
              <w:rPr>
                <w:rFonts w:cstheme="minorHAnsi"/>
                <w:sz w:val="22"/>
                <w:szCs w:val="22"/>
              </w:rPr>
              <w:t>Assess and monitor air quality at each work location where employees are exposed;</w:t>
            </w:r>
          </w:p>
          <w:p w14:paraId="7D64EA60" w14:textId="77777777" w:rsidR="00933AA5" w:rsidRPr="007D1035" w:rsidRDefault="00933AA5" w:rsidP="00EB5DBB">
            <w:pPr>
              <w:pStyle w:val="ListParagraph"/>
              <w:keepLines w:val="0"/>
              <w:numPr>
                <w:ilvl w:val="0"/>
                <w:numId w:val="48"/>
              </w:numPr>
              <w:spacing w:after="0" w:line="240" w:lineRule="auto"/>
              <w:ind w:left="436"/>
              <w:rPr>
                <w:rFonts w:cstheme="minorHAnsi"/>
                <w:sz w:val="22"/>
                <w:szCs w:val="22"/>
              </w:rPr>
            </w:pPr>
            <w:r w:rsidRPr="007D1035">
              <w:rPr>
                <w:rFonts w:cstheme="minorHAnsi"/>
                <w:sz w:val="22"/>
                <w:szCs w:val="22"/>
              </w:rPr>
              <w:t>Provide and document employees training;</w:t>
            </w:r>
          </w:p>
          <w:p w14:paraId="23804EE7" w14:textId="77777777" w:rsidR="00933AA5" w:rsidRPr="007D1035" w:rsidRDefault="00933AA5" w:rsidP="00EB5DBB">
            <w:pPr>
              <w:pStyle w:val="ListParagraph"/>
              <w:keepLines w:val="0"/>
              <w:numPr>
                <w:ilvl w:val="0"/>
                <w:numId w:val="48"/>
              </w:numPr>
              <w:spacing w:after="0" w:line="240" w:lineRule="auto"/>
              <w:ind w:left="436"/>
              <w:rPr>
                <w:rFonts w:cstheme="minorHAnsi"/>
                <w:sz w:val="22"/>
                <w:szCs w:val="22"/>
              </w:rPr>
            </w:pPr>
            <w:r w:rsidRPr="007D1035">
              <w:rPr>
                <w:rFonts w:cstheme="minorHAnsi"/>
                <w:sz w:val="22"/>
                <w:szCs w:val="22"/>
              </w:rPr>
              <w:t>Implement two-way communication system;</w:t>
            </w:r>
          </w:p>
          <w:p w14:paraId="0C5FA84C" w14:textId="77777777" w:rsidR="00933AA5" w:rsidRPr="007D1035" w:rsidRDefault="00933AA5" w:rsidP="00EB5DBB">
            <w:pPr>
              <w:pStyle w:val="ListParagraph"/>
              <w:keepLines w:val="0"/>
              <w:numPr>
                <w:ilvl w:val="0"/>
                <w:numId w:val="48"/>
              </w:numPr>
              <w:spacing w:after="0" w:line="240" w:lineRule="auto"/>
              <w:ind w:left="436"/>
              <w:rPr>
                <w:rFonts w:cstheme="minorHAnsi"/>
                <w:sz w:val="22"/>
                <w:szCs w:val="22"/>
              </w:rPr>
            </w:pPr>
            <w:r w:rsidRPr="007D1035">
              <w:rPr>
                <w:rFonts w:cstheme="minorHAnsi"/>
                <w:sz w:val="22"/>
                <w:szCs w:val="22"/>
              </w:rPr>
              <w:t>Implement engineering and administrative controls; and</w:t>
            </w:r>
          </w:p>
          <w:p w14:paraId="4CC81DD0" w14:textId="77777777" w:rsidR="00933AA5" w:rsidRPr="007D1035" w:rsidRDefault="00933AA5" w:rsidP="00EB5DBB">
            <w:pPr>
              <w:pStyle w:val="ListParagraph"/>
              <w:keepLines w:val="0"/>
              <w:numPr>
                <w:ilvl w:val="0"/>
                <w:numId w:val="48"/>
              </w:numPr>
              <w:spacing w:after="0" w:line="240" w:lineRule="auto"/>
              <w:ind w:left="436"/>
              <w:rPr>
                <w:rFonts w:cstheme="minorHAnsi"/>
                <w:sz w:val="22"/>
                <w:szCs w:val="22"/>
              </w:rPr>
            </w:pPr>
            <w:r w:rsidRPr="007D1035">
              <w:rPr>
                <w:rFonts w:cstheme="minorHAnsi"/>
                <w:sz w:val="22"/>
                <w:szCs w:val="22"/>
              </w:rPr>
              <w:t>Provide NIOSH-approved filtering facepiece respirators for voluntary use.</w:t>
            </w:r>
          </w:p>
        </w:tc>
      </w:tr>
      <w:tr w:rsidR="00933AA5" w:rsidRPr="007D1035" w14:paraId="519E72F6" w14:textId="77777777" w:rsidTr="00EB5DBB">
        <w:tc>
          <w:tcPr>
            <w:tcW w:w="1710" w:type="dxa"/>
            <w:vAlign w:val="center"/>
          </w:tcPr>
          <w:p w14:paraId="2AA52B02" w14:textId="77777777" w:rsidR="00933AA5" w:rsidRPr="00EB5DBB" w:rsidRDefault="00933AA5" w:rsidP="00EB5DBB">
            <w:pPr>
              <w:pStyle w:val="Tabletext"/>
              <w:spacing w:after="0" w:line="240" w:lineRule="auto"/>
              <w:rPr>
                <w:sz w:val="22"/>
                <w:szCs w:val="22"/>
              </w:rPr>
            </w:pPr>
            <w:r w:rsidRPr="00EB5DBB">
              <w:rPr>
                <w:sz w:val="22"/>
                <w:szCs w:val="22"/>
              </w:rPr>
              <w:t xml:space="preserve"> 251 - 500</w:t>
            </w:r>
          </w:p>
        </w:tc>
        <w:tc>
          <w:tcPr>
            <w:tcW w:w="8226" w:type="dxa"/>
            <w:vAlign w:val="center"/>
          </w:tcPr>
          <w:p w14:paraId="1D6FB396" w14:textId="77777777" w:rsidR="00933AA5" w:rsidRPr="007D1035" w:rsidRDefault="00933AA5" w:rsidP="00EB5DBB">
            <w:pPr>
              <w:pStyle w:val="ListParagraph"/>
              <w:keepLines w:val="0"/>
              <w:numPr>
                <w:ilvl w:val="0"/>
                <w:numId w:val="49"/>
              </w:numPr>
              <w:spacing w:after="0" w:line="240" w:lineRule="auto"/>
              <w:ind w:left="436"/>
              <w:rPr>
                <w:rFonts w:cstheme="minorHAnsi"/>
                <w:sz w:val="22"/>
                <w:szCs w:val="22"/>
              </w:rPr>
            </w:pPr>
            <w:r w:rsidRPr="007D1035">
              <w:rPr>
                <w:rFonts w:cstheme="minorHAnsi"/>
                <w:sz w:val="22"/>
                <w:szCs w:val="22"/>
              </w:rPr>
              <w:t>1 through 4 for AQI 101 – 250 above; and</w:t>
            </w:r>
          </w:p>
          <w:p w14:paraId="61493C62" w14:textId="77777777" w:rsidR="00933AA5" w:rsidRPr="007D1035" w:rsidRDefault="00933AA5" w:rsidP="00EB5DBB">
            <w:pPr>
              <w:pStyle w:val="ListParagraph"/>
              <w:keepLines w:val="0"/>
              <w:numPr>
                <w:ilvl w:val="0"/>
                <w:numId w:val="49"/>
              </w:numPr>
              <w:spacing w:after="0" w:line="240" w:lineRule="auto"/>
              <w:ind w:left="436"/>
              <w:rPr>
                <w:rFonts w:cstheme="minorHAnsi"/>
                <w:sz w:val="22"/>
                <w:szCs w:val="22"/>
              </w:rPr>
            </w:pPr>
            <w:r w:rsidRPr="007D1035">
              <w:rPr>
                <w:rFonts w:cstheme="minorHAnsi"/>
                <w:sz w:val="22"/>
                <w:szCs w:val="22"/>
              </w:rPr>
              <w:t>Provide NIOSH-approved filtering facepiece respirators for mandatory use by implementing a Wildfire Smoke Respiratory Protection Program in accordance with Appendix A.</w:t>
            </w:r>
          </w:p>
        </w:tc>
      </w:tr>
      <w:tr w:rsidR="00933AA5" w:rsidRPr="007D1035" w14:paraId="2923FE7D" w14:textId="77777777" w:rsidTr="00EB5DBB">
        <w:tc>
          <w:tcPr>
            <w:tcW w:w="1710" w:type="dxa"/>
            <w:vAlign w:val="center"/>
          </w:tcPr>
          <w:p w14:paraId="46AD2EC5" w14:textId="77777777" w:rsidR="00933AA5" w:rsidRPr="00EB5DBB" w:rsidRDefault="00933AA5" w:rsidP="00EB5DBB">
            <w:pPr>
              <w:pStyle w:val="Tabletext"/>
              <w:spacing w:after="0" w:line="240" w:lineRule="auto"/>
              <w:rPr>
                <w:sz w:val="22"/>
                <w:szCs w:val="22"/>
              </w:rPr>
            </w:pPr>
            <w:r w:rsidRPr="00EB5DBB">
              <w:rPr>
                <w:sz w:val="22"/>
                <w:szCs w:val="22"/>
              </w:rPr>
              <w:t xml:space="preserve"> 501 and above</w:t>
            </w:r>
          </w:p>
        </w:tc>
        <w:tc>
          <w:tcPr>
            <w:tcW w:w="8226" w:type="dxa"/>
            <w:vAlign w:val="center"/>
          </w:tcPr>
          <w:p w14:paraId="7CE80884" w14:textId="77777777" w:rsidR="00933AA5" w:rsidRPr="007D1035" w:rsidRDefault="00933AA5" w:rsidP="00EB5DBB">
            <w:pPr>
              <w:pStyle w:val="ListParagraph"/>
              <w:keepLines w:val="0"/>
              <w:numPr>
                <w:ilvl w:val="0"/>
                <w:numId w:val="50"/>
              </w:numPr>
              <w:spacing w:after="0" w:line="240" w:lineRule="auto"/>
              <w:ind w:left="436"/>
              <w:rPr>
                <w:rFonts w:cstheme="minorHAnsi"/>
                <w:sz w:val="22"/>
                <w:szCs w:val="22"/>
              </w:rPr>
            </w:pPr>
            <w:r w:rsidRPr="007D1035">
              <w:rPr>
                <w:rFonts w:cstheme="minorHAnsi"/>
                <w:sz w:val="22"/>
                <w:szCs w:val="22"/>
              </w:rPr>
              <w:t>1 through 4 for AQI 101 – 250 above; and</w:t>
            </w:r>
          </w:p>
          <w:p w14:paraId="6C9B9EB2" w14:textId="77777777" w:rsidR="00933AA5" w:rsidRPr="007D1035" w:rsidRDefault="00933AA5" w:rsidP="00EB5DBB">
            <w:pPr>
              <w:pStyle w:val="ListParagraph"/>
              <w:keepLines w:val="0"/>
              <w:numPr>
                <w:ilvl w:val="0"/>
                <w:numId w:val="50"/>
              </w:numPr>
              <w:spacing w:after="0" w:line="240" w:lineRule="auto"/>
              <w:ind w:left="436"/>
              <w:rPr>
                <w:rFonts w:cstheme="minorHAnsi"/>
                <w:sz w:val="22"/>
                <w:szCs w:val="22"/>
              </w:rPr>
            </w:pPr>
            <w:r w:rsidRPr="007D1035">
              <w:rPr>
                <w:rFonts w:cstheme="minorHAnsi"/>
                <w:sz w:val="22"/>
                <w:szCs w:val="22"/>
              </w:rPr>
              <w:t xml:space="preserve">Provide NIOSH-approved respirators for mandatory use by implementing a Respiratory Protection Program in accordance with 29 CFR 1910.134.  </w:t>
            </w:r>
          </w:p>
        </w:tc>
      </w:tr>
      <w:tr w:rsidR="00933AA5" w:rsidRPr="00EB5DBB" w14:paraId="03E9A0CB" w14:textId="77777777" w:rsidTr="00EB5DBB">
        <w:tc>
          <w:tcPr>
            <w:tcW w:w="9936" w:type="dxa"/>
            <w:gridSpan w:val="2"/>
            <w:vAlign w:val="center"/>
          </w:tcPr>
          <w:p w14:paraId="64E6C392" w14:textId="77777777" w:rsidR="00933AA5" w:rsidRPr="00EB5DBB" w:rsidRDefault="00933AA5" w:rsidP="00EB5DBB">
            <w:pPr>
              <w:spacing w:after="0" w:line="240" w:lineRule="auto"/>
              <w:rPr>
                <w:i/>
                <w:sz w:val="22"/>
                <w:szCs w:val="22"/>
              </w:rPr>
            </w:pPr>
            <w:r w:rsidRPr="00EB5DBB">
              <w:rPr>
                <w:i/>
                <w:sz w:val="22"/>
                <w:szCs w:val="22"/>
              </w:rPr>
              <w:t>See rules for complete requirements.</w:t>
            </w:r>
          </w:p>
        </w:tc>
      </w:tr>
    </w:tbl>
    <w:p w14:paraId="34CA3CAD" w14:textId="77777777" w:rsidR="00CD315C" w:rsidRPr="00CD315C" w:rsidRDefault="00CD315C" w:rsidP="00CD315C"/>
    <w:p w14:paraId="4D8683C7" w14:textId="77777777" w:rsidR="006F02A7" w:rsidRDefault="006F02A7" w:rsidP="005749CB">
      <w:pPr>
        <w:pStyle w:val="Subtitle"/>
        <w:sectPr w:rsidR="006F02A7" w:rsidSect="00CD315C">
          <w:footerReference w:type="first" r:id="rId31"/>
          <w:endnotePr>
            <w:numFmt w:val="decimal"/>
          </w:endnotePr>
          <w:type w:val="oddPage"/>
          <w:pgSz w:w="12240" w:h="15840" w:code="1"/>
          <w:pgMar w:top="1440" w:right="864" w:bottom="1440" w:left="1440" w:header="720" w:footer="720" w:gutter="0"/>
          <w:cols w:space="720"/>
          <w:titlePg/>
          <w:docGrid w:linePitch="360"/>
        </w:sectPr>
      </w:pPr>
    </w:p>
    <w:p w14:paraId="3C7A3559" w14:textId="77777777" w:rsidR="006F02A7" w:rsidRDefault="003B61E7" w:rsidP="006440AB">
      <w:pPr>
        <w:pStyle w:val="Heading1"/>
      </w:pPr>
      <w:bookmarkStart w:id="6" w:name="_Toc514338300"/>
      <w:bookmarkStart w:id="7" w:name="_Toc514338889"/>
      <w:bookmarkStart w:id="8" w:name="_Toc514338926"/>
      <w:bookmarkStart w:id="9" w:name="_Toc514339682"/>
      <w:bookmarkStart w:id="10" w:name="_Toc109812497"/>
      <w:r>
        <w:lastRenderedPageBreak/>
        <w:t>Historical Notes</w:t>
      </w:r>
      <w:r w:rsidR="007B4BA9">
        <w:t xml:space="preserve"> for </w:t>
      </w:r>
      <w:r w:rsidR="00E46D5A">
        <w:t xml:space="preserve">Subdivision </w:t>
      </w:r>
      <w:bookmarkEnd w:id="6"/>
      <w:bookmarkEnd w:id="7"/>
      <w:bookmarkEnd w:id="8"/>
      <w:bookmarkEnd w:id="9"/>
      <w:r w:rsidR="00D2258E">
        <w:fldChar w:fldCharType="begin"/>
      </w:r>
      <w:r w:rsidR="00D2258E">
        <w:instrText xml:space="preserve"> KEYWORDS  \* Upper  \* MERGEFORMAT </w:instrText>
      </w:r>
      <w:r w:rsidR="00D2258E">
        <w:fldChar w:fldCharType="separate"/>
      </w:r>
      <w:r w:rsidR="00CD315C">
        <w:t>Z</w:t>
      </w:r>
      <w:r w:rsidR="00D2258E">
        <w:fldChar w:fldCharType="end"/>
      </w:r>
      <w:r w:rsidR="00CD315C">
        <w:t xml:space="preserve">, </w:t>
      </w:r>
      <w:r w:rsidR="00CD315C" w:rsidRPr="00CD315C">
        <w:t>437-002-1081</w:t>
      </w:r>
      <w:bookmarkEnd w:id="10"/>
    </w:p>
    <w:p w14:paraId="375D58D2" w14:textId="77777777" w:rsidR="00EA48AA" w:rsidRDefault="003B61E7" w:rsidP="00EA48AA">
      <w:pPr>
        <w:rPr>
          <w:rStyle w:val="Notes"/>
        </w:rPr>
      </w:pPr>
      <w:r w:rsidRPr="00716E8D">
        <w:rPr>
          <w:rStyle w:val="Notes"/>
          <w:b/>
        </w:rPr>
        <w:t>N</w:t>
      </w:r>
      <w:r w:rsidR="00AE206C">
        <w:rPr>
          <w:rStyle w:val="Notes"/>
          <w:b/>
        </w:rPr>
        <w:t>ote</w:t>
      </w:r>
      <w:r w:rsidRPr="00716E8D">
        <w:rPr>
          <w:rStyle w:val="Notes"/>
          <w:b/>
        </w:rPr>
        <w:t>:</w:t>
      </w:r>
      <w:r w:rsidR="00EA48AA">
        <w:rPr>
          <w:rStyle w:val="Notes"/>
        </w:rPr>
        <w:t xml:space="preserve"> </w:t>
      </w:r>
    </w:p>
    <w:p w14:paraId="132540B1" w14:textId="77777777" w:rsidR="003B61E7" w:rsidRPr="00351459" w:rsidRDefault="00CD315C" w:rsidP="00EA48AA">
      <w:pPr>
        <w:rPr>
          <w:rStyle w:val="Notes"/>
        </w:rPr>
      </w:pPr>
      <w:r w:rsidRPr="00CD315C">
        <w:rPr>
          <w:rStyle w:val="Notes"/>
        </w:rPr>
        <w:t>OSHA Admin. Order 4-2022, filed 5/10/2022, effective 7/1/2022</w:t>
      </w:r>
    </w:p>
    <w:p w14:paraId="172F75F5" w14:textId="77777777" w:rsidR="00351459" w:rsidRPr="00351459" w:rsidRDefault="00351459" w:rsidP="00EA48AA">
      <w:pPr>
        <w:rPr>
          <w:rStyle w:val="Notes"/>
        </w:rPr>
      </w:pPr>
    </w:p>
    <w:p w14:paraId="12CCFF90" w14:textId="77777777" w:rsidR="00A65966" w:rsidRDefault="00A65966" w:rsidP="006F02A7">
      <w:pPr>
        <w:rPr>
          <w:rStyle w:val="Notes"/>
        </w:rPr>
      </w:pPr>
    </w:p>
    <w:sectPr w:rsidR="00A65966" w:rsidSect="00CB74A1">
      <w:footerReference w:type="even" r:id="rId32"/>
      <w:footerReference w:type="default" r:id="rId33"/>
      <w:headerReference w:type="first" r:id="rId34"/>
      <w:footerReference w:type="first" r:id="rId35"/>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E7273" w14:textId="77777777" w:rsidR="00392330" w:rsidRDefault="00392330">
      <w:r>
        <w:separator/>
      </w:r>
    </w:p>
    <w:p w14:paraId="757954D4" w14:textId="77777777" w:rsidR="00392330" w:rsidRDefault="00392330"/>
  </w:endnote>
  <w:endnote w:type="continuationSeparator" w:id="0">
    <w:p w14:paraId="1B453670" w14:textId="77777777" w:rsidR="00392330" w:rsidRDefault="00392330">
      <w:r>
        <w:continuationSeparator/>
      </w:r>
    </w:p>
    <w:p w14:paraId="494625C7" w14:textId="77777777" w:rsidR="00392330" w:rsidRDefault="00392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836E7" w14:textId="77777777" w:rsidR="005D1B27" w:rsidRPr="00AE3D11" w:rsidRDefault="005D1B27" w:rsidP="00AE3D11">
    <w:pPr>
      <w:pStyle w:val="Footer"/>
      <w:jc w:val="center"/>
    </w:pPr>
    <w:r>
      <w:fldChar w:fldCharType="begin"/>
    </w:r>
    <w:r>
      <w:instrText xml:space="preserve"> PAGE   \* MERGEFORMAT </w:instrText>
    </w:r>
    <w:r>
      <w:fldChar w:fldCharType="separate"/>
    </w:r>
    <w:r w:rsidR="005374C9">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D341A" w:rsidRPr="00540D85" w14:paraId="0A60DBE8" w14:textId="77777777" w:rsidTr="00FC4F7E">
      <w:trPr>
        <w:cantSplit/>
      </w:trPr>
      <w:tc>
        <w:tcPr>
          <w:tcW w:w="4289" w:type="dxa"/>
        </w:tcPr>
        <w:p w14:paraId="27A1C83D" w14:textId="77777777" w:rsidR="00FD341A" w:rsidRPr="008D6374" w:rsidRDefault="00FD341A" w:rsidP="0092599E">
          <w:pPr>
            <w:pStyle w:val="Footer"/>
          </w:pPr>
          <w:r w:rsidRPr="00CD315C">
            <w:t>437-002-1081</w:t>
          </w:r>
          <w:r>
            <w:t xml:space="preserve"> (5)</w:t>
          </w:r>
        </w:p>
      </w:tc>
      <w:tc>
        <w:tcPr>
          <w:tcW w:w="1350" w:type="dxa"/>
        </w:tcPr>
        <w:p w14:paraId="048BA28E" w14:textId="77777777" w:rsidR="00FD341A" w:rsidRPr="008D6374" w:rsidRDefault="006270F9" w:rsidP="00FC4F7E">
          <w:pPr>
            <w:pStyle w:val="Footer"/>
            <w:jc w:val="center"/>
          </w:pPr>
          <w:sdt>
            <w:sdtPr>
              <w:rPr>
                <w:rStyle w:val="FooterChar"/>
              </w:rPr>
              <w:alias w:val="Subdivision"/>
              <w:tag w:val=""/>
              <w:id w:val="19634572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D341A">
                <w:rPr>
                  <w:rStyle w:val="FooterChar"/>
                </w:rPr>
                <w:t>Z</w:t>
              </w:r>
            </w:sdtContent>
          </w:sdt>
          <w:r w:rsidR="00FD341A" w:rsidRPr="008D6374">
            <w:t xml:space="preserve"> - </w:t>
          </w:r>
          <w:r w:rsidR="00FD341A" w:rsidRPr="008D6374">
            <w:fldChar w:fldCharType="begin"/>
          </w:r>
          <w:r w:rsidR="00FD341A" w:rsidRPr="008D6374">
            <w:instrText xml:space="preserve"> PAGE   \* MERGEFORMAT </w:instrText>
          </w:r>
          <w:r w:rsidR="00FD341A" w:rsidRPr="008D6374">
            <w:fldChar w:fldCharType="separate"/>
          </w:r>
          <w:r w:rsidR="00FD341A">
            <w:rPr>
              <w:noProof/>
            </w:rPr>
            <w:t>3</w:t>
          </w:r>
          <w:r w:rsidR="00FD341A" w:rsidRPr="008D6374">
            <w:fldChar w:fldCharType="end"/>
          </w:r>
        </w:p>
      </w:tc>
      <w:tc>
        <w:tcPr>
          <w:tcW w:w="4290" w:type="dxa"/>
        </w:tcPr>
        <w:p w14:paraId="7BE7E59E" w14:textId="77777777" w:rsidR="00FD341A" w:rsidRPr="00540D85" w:rsidRDefault="00FD341A" w:rsidP="00D44222">
          <w:pPr>
            <w:pStyle w:val="Footer"/>
            <w:jc w:val="right"/>
          </w:pPr>
          <w:r w:rsidRPr="00CD315C">
            <w:t>437-002-1081</w:t>
          </w:r>
          <w:r>
            <w:t xml:space="preserve"> (7)(a)</w:t>
          </w:r>
        </w:p>
      </w:tc>
    </w:tr>
  </w:tbl>
  <w:p w14:paraId="40E11059" w14:textId="77777777" w:rsidR="00FD341A" w:rsidRDefault="00FD341A"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D341A" w:rsidRPr="00540D85" w14:paraId="3BA322A2" w14:textId="77777777" w:rsidTr="00FC4F7E">
      <w:trPr>
        <w:cantSplit/>
      </w:trPr>
      <w:tc>
        <w:tcPr>
          <w:tcW w:w="4289" w:type="dxa"/>
        </w:tcPr>
        <w:p w14:paraId="60730733" w14:textId="77777777" w:rsidR="00FD341A" w:rsidRPr="008D6374" w:rsidRDefault="00FD341A" w:rsidP="00D44222">
          <w:pPr>
            <w:pStyle w:val="Footer"/>
          </w:pPr>
          <w:r w:rsidRPr="00CD315C">
            <w:t>437-002-1081</w:t>
          </w:r>
          <w:r w:rsidRPr="008408C3">
            <w:rPr>
              <w:b/>
            </w:rPr>
            <w:t xml:space="preserve"> </w:t>
          </w:r>
          <w:r>
            <w:t>(7)(a)(A</w:t>
          </w:r>
          <w:r>
            <w:rPr>
              <w:b/>
            </w:rPr>
            <w:t>)</w:t>
          </w:r>
        </w:p>
      </w:tc>
      <w:tc>
        <w:tcPr>
          <w:tcW w:w="1350" w:type="dxa"/>
        </w:tcPr>
        <w:p w14:paraId="37E80758" w14:textId="77777777" w:rsidR="00FD341A" w:rsidRPr="008D6374" w:rsidRDefault="006270F9" w:rsidP="00FC4F7E">
          <w:pPr>
            <w:pStyle w:val="Footer"/>
            <w:jc w:val="center"/>
          </w:pPr>
          <w:sdt>
            <w:sdtPr>
              <w:rPr>
                <w:rStyle w:val="FooterChar"/>
              </w:rPr>
              <w:alias w:val="Subdivision"/>
              <w:tag w:val=""/>
              <w:id w:val="825687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D341A">
                <w:rPr>
                  <w:rStyle w:val="FooterChar"/>
                </w:rPr>
                <w:t>Z</w:t>
              </w:r>
            </w:sdtContent>
          </w:sdt>
          <w:r w:rsidR="00FD341A" w:rsidRPr="008D6374">
            <w:t xml:space="preserve"> - </w:t>
          </w:r>
          <w:r w:rsidR="00FD341A" w:rsidRPr="008D6374">
            <w:fldChar w:fldCharType="begin"/>
          </w:r>
          <w:r w:rsidR="00FD341A" w:rsidRPr="008D6374">
            <w:instrText xml:space="preserve"> PAGE   \* MERGEFORMAT </w:instrText>
          </w:r>
          <w:r w:rsidR="00FD341A" w:rsidRPr="008D6374">
            <w:fldChar w:fldCharType="separate"/>
          </w:r>
          <w:r w:rsidR="00FD341A">
            <w:rPr>
              <w:noProof/>
            </w:rPr>
            <w:t>2</w:t>
          </w:r>
          <w:r w:rsidR="00FD341A" w:rsidRPr="008D6374">
            <w:fldChar w:fldCharType="end"/>
          </w:r>
        </w:p>
      </w:tc>
      <w:tc>
        <w:tcPr>
          <w:tcW w:w="4290" w:type="dxa"/>
        </w:tcPr>
        <w:p w14:paraId="5B6E9050" w14:textId="77777777" w:rsidR="00FD341A" w:rsidRPr="00540D85" w:rsidRDefault="00FD341A" w:rsidP="00D44222">
          <w:pPr>
            <w:pStyle w:val="Footer"/>
            <w:jc w:val="right"/>
          </w:pPr>
          <w:r w:rsidRPr="00CD315C">
            <w:t>437-002-1081</w:t>
          </w:r>
          <w:r>
            <w:t xml:space="preserve"> (7)(b)(B) </w:t>
          </w:r>
        </w:p>
      </w:tc>
    </w:tr>
  </w:tbl>
  <w:p w14:paraId="7C7464F5" w14:textId="77777777" w:rsidR="00FD341A" w:rsidRDefault="00FD341A"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D341A" w:rsidRPr="00540D85" w14:paraId="70C1BC13" w14:textId="77777777" w:rsidTr="00FC4F7E">
      <w:trPr>
        <w:cantSplit/>
      </w:trPr>
      <w:tc>
        <w:tcPr>
          <w:tcW w:w="4289" w:type="dxa"/>
        </w:tcPr>
        <w:p w14:paraId="1F289A8E" w14:textId="77777777" w:rsidR="00FD341A" w:rsidRPr="008D6374" w:rsidRDefault="00FD341A" w:rsidP="0092599E">
          <w:pPr>
            <w:pStyle w:val="Footer"/>
          </w:pPr>
          <w:r w:rsidRPr="00CD315C">
            <w:t>437-002-1081</w:t>
          </w:r>
          <w:r>
            <w:t xml:space="preserve"> (7)(c)</w:t>
          </w:r>
        </w:p>
      </w:tc>
      <w:tc>
        <w:tcPr>
          <w:tcW w:w="1350" w:type="dxa"/>
        </w:tcPr>
        <w:p w14:paraId="73BE0E41" w14:textId="77777777" w:rsidR="00FD341A" w:rsidRPr="008D6374" w:rsidRDefault="006270F9" w:rsidP="00FC4F7E">
          <w:pPr>
            <w:pStyle w:val="Footer"/>
            <w:jc w:val="center"/>
          </w:pPr>
          <w:sdt>
            <w:sdtPr>
              <w:rPr>
                <w:rStyle w:val="FooterChar"/>
              </w:rPr>
              <w:alias w:val="Subdivision"/>
              <w:tag w:val=""/>
              <w:id w:val="-214688036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D341A">
                <w:rPr>
                  <w:rStyle w:val="FooterChar"/>
                </w:rPr>
                <w:t>Z</w:t>
              </w:r>
            </w:sdtContent>
          </w:sdt>
          <w:r w:rsidR="00FD341A" w:rsidRPr="008D6374">
            <w:t xml:space="preserve"> - </w:t>
          </w:r>
          <w:r w:rsidR="00FD341A" w:rsidRPr="008D6374">
            <w:fldChar w:fldCharType="begin"/>
          </w:r>
          <w:r w:rsidR="00FD341A" w:rsidRPr="008D6374">
            <w:instrText xml:space="preserve"> PAGE   \* MERGEFORMAT </w:instrText>
          </w:r>
          <w:r w:rsidR="00FD341A" w:rsidRPr="008D6374">
            <w:fldChar w:fldCharType="separate"/>
          </w:r>
          <w:r w:rsidR="00FD341A">
            <w:rPr>
              <w:noProof/>
            </w:rPr>
            <w:t>3</w:t>
          </w:r>
          <w:r w:rsidR="00FD341A" w:rsidRPr="008D6374">
            <w:fldChar w:fldCharType="end"/>
          </w:r>
        </w:p>
      </w:tc>
      <w:tc>
        <w:tcPr>
          <w:tcW w:w="4290" w:type="dxa"/>
        </w:tcPr>
        <w:p w14:paraId="5D35B731" w14:textId="77777777" w:rsidR="00FD341A" w:rsidRPr="00540D85" w:rsidRDefault="00FD341A" w:rsidP="00D44222">
          <w:pPr>
            <w:pStyle w:val="Footer"/>
            <w:jc w:val="right"/>
          </w:pPr>
          <w:r w:rsidRPr="00CD315C">
            <w:t>437-002-1081</w:t>
          </w:r>
          <w:r>
            <w:t xml:space="preserve"> (7)(d)</w:t>
          </w:r>
        </w:p>
      </w:tc>
    </w:tr>
  </w:tbl>
  <w:p w14:paraId="5359069C" w14:textId="77777777" w:rsidR="00FD341A" w:rsidRDefault="00FD341A"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4532C" w:rsidRPr="00540D85" w14:paraId="76EBA3F2" w14:textId="77777777" w:rsidTr="00FC4F7E">
      <w:trPr>
        <w:cantSplit/>
      </w:trPr>
      <w:tc>
        <w:tcPr>
          <w:tcW w:w="4289" w:type="dxa"/>
        </w:tcPr>
        <w:p w14:paraId="7B6A4492" w14:textId="77777777" w:rsidR="0004532C" w:rsidRPr="008D6374" w:rsidRDefault="0004532C" w:rsidP="00D44222">
          <w:pPr>
            <w:pStyle w:val="Footer"/>
          </w:pPr>
          <w:r>
            <w:t xml:space="preserve">Appendix A to </w:t>
          </w:r>
          <w:r w:rsidRPr="00CD315C">
            <w:t>437-002-1081</w:t>
          </w:r>
        </w:p>
      </w:tc>
      <w:tc>
        <w:tcPr>
          <w:tcW w:w="1350" w:type="dxa"/>
        </w:tcPr>
        <w:p w14:paraId="36D58A9A" w14:textId="77777777" w:rsidR="0004532C" w:rsidRPr="008D6374" w:rsidRDefault="006270F9" w:rsidP="00FC4F7E">
          <w:pPr>
            <w:pStyle w:val="Footer"/>
            <w:jc w:val="center"/>
          </w:pPr>
          <w:sdt>
            <w:sdtPr>
              <w:rPr>
                <w:rStyle w:val="FooterChar"/>
              </w:rPr>
              <w:alias w:val="Subdivision"/>
              <w:tag w:val=""/>
              <w:id w:val="-4633487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4532C">
                <w:rPr>
                  <w:rStyle w:val="FooterChar"/>
                </w:rPr>
                <w:t>Z</w:t>
              </w:r>
            </w:sdtContent>
          </w:sdt>
          <w:r w:rsidR="0004532C" w:rsidRPr="008D6374">
            <w:t xml:space="preserve"> - </w:t>
          </w:r>
          <w:r w:rsidR="0004532C" w:rsidRPr="008D6374">
            <w:fldChar w:fldCharType="begin"/>
          </w:r>
          <w:r w:rsidR="0004532C" w:rsidRPr="008D6374">
            <w:instrText xml:space="preserve"> PAGE   \* MERGEFORMAT </w:instrText>
          </w:r>
          <w:r w:rsidR="0004532C" w:rsidRPr="008D6374">
            <w:fldChar w:fldCharType="separate"/>
          </w:r>
          <w:r w:rsidR="0004532C">
            <w:rPr>
              <w:noProof/>
            </w:rPr>
            <w:t>2</w:t>
          </w:r>
          <w:r w:rsidR="0004532C" w:rsidRPr="008D6374">
            <w:fldChar w:fldCharType="end"/>
          </w:r>
        </w:p>
      </w:tc>
      <w:tc>
        <w:tcPr>
          <w:tcW w:w="4290" w:type="dxa"/>
        </w:tcPr>
        <w:p w14:paraId="39330FA3" w14:textId="77777777" w:rsidR="0004532C" w:rsidRPr="00540D85" w:rsidRDefault="0004532C" w:rsidP="00D44222">
          <w:pPr>
            <w:pStyle w:val="Footer"/>
            <w:jc w:val="right"/>
          </w:pPr>
          <w:r>
            <w:t xml:space="preserve">Appendix A to </w:t>
          </w:r>
          <w:r w:rsidRPr="00CD315C">
            <w:t>437-002-1081</w:t>
          </w:r>
          <w:r>
            <w:t xml:space="preserve"> </w:t>
          </w:r>
        </w:p>
      </w:tc>
    </w:tr>
  </w:tbl>
  <w:p w14:paraId="48FD82E9" w14:textId="77777777" w:rsidR="0004532C" w:rsidRDefault="0004532C"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D315C" w:rsidRPr="00540D85" w14:paraId="5300FD6B" w14:textId="77777777" w:rsidTr="00FC4F7E">
      <w:trPr>
        <w:cantSplit/>
      </w:trPr>
      <w:tc>
        <w:tcPr>
          <w:tcW w:w="4289" w:type="dxa"/>
        </w:tcPr>
        <w:p w14:paraId="06BF41EF" w14:textId="77777777" w:rsidR="00CD315C" w:rsidRPr="008D6374" w:rsidRDefault="0004532C" w:rsidP="00D44222">
          <w:pPr>
            <w:pStyle w:val="Footer"/>
          </w:pPr>
          <w:r>
            <w:t xml:space="preserve">Appendix A to </w:t>
          </w:r>
          <w:r w:rsidR="00CD315C" w:rsidRPr="00CD315C">
            <w:t>437-002-1081</w:t>
          </w:r>
          <w:r w:rsidR="00CD315C">
            <w:t xml:space="preserve"> </w:t>
          </w:r>
        </w:p>
      </w:tc>
      <w:tc>
        <w:tcPr>
          <w:tcW w:w="1350" w:type="dxa"/>
        </w:tcPr>
        <w:p w14:paraId="72511229" w14:textId="77777777" w:rsidR="00CD315C" w:rsidRPr="008D6374" w:rsidRDefault="006270F9" w:rsidP="00FC4F7E">
          <w:pPr>
            <w:pStyle w:val="Footer"/>
            <w:jc w:val="center"/>
          </w:pPr>
          <w:sdt>
            <w:sdtPr>
              <w:rPr>
                <w:rStyle w:val="FooterChar"/>
              </w:rPr>
              <w:alias w:val="Subdivision"/>
              <w:tag w:val=""/>
              <w:id w:val="57308788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D315C">
                <w:rPr>
                  <w:rStyle w:val="FooterChar"/>
                </w:rPr>
                <w:t>Z</w:t>
              </w:r>
            </w:sdtContent>
          </w:sdt>
          <w:r w:rsidR="00CD315C" w:rsidRPr="008D6374">
            <w:t xml:space="preserve"> - </w:t>
          </w:r>
          <w:r w:rsidR="00CD315C" w:rsidRPr="008D6374">
            <w:fldChar w:fldCharType="begin"/>
          </w:r>
          <w:r w:rsidR="00CD315C" w:rsidRPr="008D6374">
            <w:instrText xml:space="preserve"> PAGE   \* MERGEFORMAT </w:instrText>
          </w:r>
          <w:r w:rsidR="00CD315C" w:rsidRPr="008D6374">
            <w:fldChar w:fldCharType="separate"/>
          </w:r>
          <w:r w:rsidR="00CD315C">
            <w:rPr>
              <w:noProof/>
            </w:rPr>
            <w:t>1</w:t>
          </w:r>
          <w:r w:rsidR="00CD315C" w:rsidRPr="008D6374">
            <w:fldChar w:fldCharType="end"/>
          </w:r>
        </w:p>
      </w:tc>
      <w:tc>
        <w:tcPr>
          <w:tcW w:w="4290" w:type="dxa"/>
        </w:tcPr>
        <w:p w14:paraId="2B32B2C5" w14:textId="77777777" w:rsidR="00CD315C" w:rsidRPr="00540D85" w:rsidRDefault="0004532C" w:rsidP="00D44222">
          <w:pPr>
            <w:pStyle w:val="Footer"/>
            <w:jc w:val="right"/>
          </w:pPr>
          <w:r>
            <w:t xml:space="preserve">Appendix A to </w:t>
          </w:r>
          <w:r w:rsidRPr="00CD315C">
            <w:t>437-002-1081</w:t>
          </w:r>
          <w:r w:rsidR="00CD315C">
            <w:t xml:space="preserve"> </w:t>
          </w:r>
        </w:p>
      </w:tc>
    </w:tr>
  </w:tbl>
  <w:p w14:paraId="6806C125" w14:textId="77777777" w:rsidR="00CD315C" w:rsidRPr="00540D85" w:rsidRDefault="00CD315C" w:rsidP="00426E10">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4532C" w:rsidRPr="00540D85" w14:paraId="74A15AB0" w14:textId="77777777" w:rsidTr="00FC4F7E">
      <w:trPr>
        <w:cantSplit/>
      </w:trPr>
      <w:tc>
        <w:tcPr>
          <w:tcW w:w="4289" w:type="dxa"/>
        </w:tcPr>
        <w:p w14:paraId="55918A30" w14:textId="77777777" w:rsidR="0004532C" w:rsidRPr="008D6374" w:rsidRDefault="0004532C" w:rsidP="00D44222">
          <w:pPr>
            <w:pStyle w:val="Footer"/>
          </w:pPr>
          <w:r>
            <w:t xml:space="preserve">Appendix B to </w:t>
          </w:r>
          <w:r w:rsidRPr="00CD315C">
            <w:t>437-002-1081</w:t>
          </w:r>
          <w:r>
            <w:t xml:space="preserve"> </w:t>
          </w:r>
        </w:p>
      </w:tc>
      <w:tc>
        <w:tcPr>
          <w:tcW w:w="1350" w:type="dxa"/>
        </w:tcPr>
        <w:p w14:paraId="4B6F3990" w14:textId="77777777" w:rsidR="0004532C" w:rsidRPr="008D6374" w:rsidRDefault="006270F9" w:rsidP="00FC4F7E">
          <w:pPr>
            <w:pStyle w:val="Footer"/>
            <w:jc w:val="center"/>
          </w:pPr>
          <w:sdt>
            <w:sdtPr>
              <w:rPr>
                <w:rStyle w:val="FooterChar"/>
              </w:rPr>
              <w:alias w:val="Subdivision"/>
              <w:tag w:val=""/>
              <w:id w:val="17346008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4532C">
                <w:rPr>
                  <w:rStyle w:val="FooterChar"/>
                </w:rPr>
                <w:t>Z</w:t>
              </w:r>
            </w:sdtContent>
          </w:sdt>
          <w:r w:rsidR="0004532C" w:rsidRPr="008D6374">
            <w:t xml:space="preserve"> - </w:t>
          </w:r>
          <w:r w:rsidR="0004532C" w:rsidRPr="008D6374">
            <w:fldChar w:fldCharType="begin"/>
          </w:r>
          <w:r w:rsidR="0004532C" w:rsidRPr="008D6374">
            <w:instrText xml:space="preserve"> PAGE   \* MERGEFORMAT </w:instrText>
          </w:r>
          <w:r w:rsidR="0004532C" w:rsidRPr="008D6374">
            <w:fldChar w:fldCharType="separate"/>
          </w:r>
          <w:r w:rsidR="0004532C">
            <w:rPr>
              <w:noProof/>
            </w:rPr>
            <w:t>1</w:t>
          </w:r>
          <w:r w:rsidR="0004532C" w:rsidRPr="008D6374">
            <w:fldChar w:fldCharType="end"/>
          </w:r>
        </w:p>
      </w:tc>
      <w:tc>
        <w:tcPr>
          <w:tcW w:w="4290" w:type="dxa"/>
        </w:tcPr>
        <w:p w14:paraId="05003942" w14:textId="77777777" w:rsidR="0004532C" w:rsidRPr="00540D85" w:rsidRDefault="0004532C" w:rsidP="00D44222">
          <w:pPr>
            <w:pStyle w:val="Footer"/>
            <w:jc w:val="right"/>
          </w:pPr>
          <w:r>
            <w:t xml:space="preserve">Appendix B to </w:t>
          </w:r>
          <w:r w:rsidRPr="00CD315C">
            <w:t>437-002-1081</w:t>
          </w:r>
          <w:r>
            <w:t xml:space="preserve"> </w:t>
          </w:r>
        </w:p>
      </w:tc>
    </w:tr>
  </w:tbl>
  <w:p w14:paraId="6D20F73D" w14:textId="77777777" w:rsidR="0004532C" w:rsidRPr="00540D85" w:rsidRDefault="0004532C"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27C0B" w:rsidRPr="00540D85" w14:paraId="22A8AD20" w14:textId="77777777" w:rsidTr="00FC4F7E">
      <w:trPr>
        <w:cantSplit/>
      </w:trPr>
      <w:tc>
        <w:tcPr>
          <w:tcW w:w="4289" w:type="dxa"/>
        </w:tcPr>
        <w:p w14:paraId="074DE078" w14:textId="77777777" w:rsidR="00D27C0B" w:rsidRPr="008D6374" w:rsidRDefault="0092599E" w:rsidP="00FC4F7E">
          <w:pPr>
            <w:pStyle w:val="Footer"/>
          </w:pPr>
          <w:r>
            <w:t>Historical Notes</w:t>
          </w:r>
        </w:p>
      </w:tc>
      <w:tc>
        <w:tcPr>
          <w:tcW w:w="1350" w:type="dxa"/>
        </w:tcPr>
        <w:p w14:paraId="51A91D61" w14:textId="77777777" w:rsidR="00D27C0B" w:rsidRPr="008D6374" w:rsidRDefault="006270F9"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D27C0B" w:rsidRPr="008D6374">
            <w:t xml:space="preserve"> - </w:t>
          </w:r>
          <w:r w:rsidR="00D27C0B" w:rsidRPr="008D6374">
            <w:fldChar w:fldCharType="begin"/>
          </w:r>
          <w:r w:rsidR="00D27C0B" w:rsidRPr="008D6374">
            <w:instrText xml:space="preserve"> PAGE   \* MERGEFORMAT </w:instrText>
          </w:r>
          <w:r w:rsidR="00D27C0B" w:rsidRPr="008D6374">
            <w:fldChar w:fldCharType="separate"/>
          </w:r>
          <w:r w:rsidR="005374C9">
            <w:rPr>
              <w:noProof/>
            </w:rPr>
            <w:t>2</w:t>
          </w:r>
          <w:r w:rsidR="00D27C0B" w:rsidRPr="008D6374">
            <w:fldChar w:fldCharType="end"/>
          </w:r>
        </w:p>
      </w:tc>
      <w:tc>
        <w:tcPr>
          <w:tcW w:w="4290" w:type="dxa"/>
        </w:tcPr>
        <w:p w14:paraId="5FD8FE82" w14:textId="77777777" w:rsidR="00D27C0B" w:rsidRPr="00540D85" w:rsidRDefault="0092599E" w:rsidP="00FC4F7E">
          <w:pPr>
            <w:pStyle w:val="Footer"/>
            <w:jc w:val="right"/>
          </w:pPr>
          <w:r>
            <w:t>Historical Notes</w:t>
          </w:r>
        </w:p>
      </w:tc>
    </w:tr>
  </w:tbl>
  <w:p w14:paraId="3C066DAE" w14:textId="77777777" w:rsidR="00D27C0B" w:rsidRDefault="00D27C0B" w:rsidP="00426E10">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27C0B" w:rsidRPr="00540D85" w14:paraId="06A5E223" w14:textId="77777777" w:rsidTr="00FC4F7E">
      <w:trPr>
        <w:cantSplit/>
      </w:trPr>
      <w:tc>
        <w:tcPr>
          <w:tcW w:w="4289" w:type="dxa"/>
        </w:tcPr>
        <w:p w14:paraId="72780BCC" w14:textId="77777777" w:rsidR="00D27C0B" w:rsidRPr="008D6374" w:rsidRDefault="00CD315C" w:rsidP="00FC4F7E">
          <w:pPr>
            <w:pStyle w:val="Footer"/>
          </w:pPr>
          <w:r w:rsidRPr="00CD315C">
            <w:t>437-002-1081</w:t>
          </w:r>
          <w:r>
            <w:t xml:space="preserve"> </w:t>
          </w:r>
          <w:r w:rsidR="0092599E">
            <w:t>Historical Notes</w:t>
          </w:r>
        </w:p>
      </w:tc>
      <w:tc>
        <w:tcPr>
          <w:tcW w:w="1350" w:type="dxa"/>
        </w:tcPr>
        <w:p w14:paraId="02697E82" w14:textId="77777777" w:rsidR="00D27C0B" w:rsidRPr="008D6374" w:rsidRDefault="006270F9"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D27C0B" w:rsidRPr="008D6374">
            <w:t xml:space="preserve"> - </w:t>
          </w:r>
          <w:r w:rsidR="00D27C0B" w:rsidRPr="008D6374">
            <w:fldChar w:fldCharType="begin"/>
          </w:r>
          <w:r w:rsidR="00D27C0B" w:rsidRPr="008D6374">
            <w:instrText xml:space="preserve"> PAGE   \* MERGEFORMAT </w:instrText>
          </w:r>
          <w:r w:rsidR="00D27C0B" w:rsidRPr="008D6374">
            <w:fldChar w:fldCharType="separate"/>
          </w:r>
          <w:r w:rsidR="005374C9">
            <w:rPr>
              <w:noProof/>
            </w:rPr>
            <w:t>3</w:t>
          </w:r>
          <w:r w:rsidR="00D27C0B" w:rsidRPr="008D6374">
            <w:fldChar w:fldCharType="end"/>
          </w:r>
        </w:p>
      </w:tc>
      <w:tc>
        <w:tcPr>
          <w:tcW w:w="4290" w:type="dxa"/>
        </w:tcPr>
        <w:p w14:paraId="2426FC32" w14:textId="77777777" w:rsidR="00D27C0B" w:rsidRPr="00540D85" w:rsidRDefault="00CD315C" w:rsidP="00FC4F7E">
          <w:pPr>
            <w:pStyle w:val="Footer"/>
            <w:jc w:val="right"/>
          </w:pPr>
          <w:r w:rsidRPr="00CD315C">
            <w:t>437-002-1081</w:t>
          </w:r>
          <w:r>
            <w:t xml:space="preserve"> </w:t>
          </w:r>
          <w:r w:rsidR="0092599E">
            <w:t>Historical Notes</w:t>
          </w:r>
        </w:p>
      </w:tc>
    </w:tr>
  </w:tbl>
  <w:p w14:paraId="24E10646" w14:textId="77777777" w:rsidR="00D27C0B" w:rsidRDefault="00D27C0B"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D1B27" w:rsidRPr="00540D85" w14:paraId="0154FE7D" w14:textId="77777777" w:rsidTr="007439A3">
      <w:trPr>
        <w:cantSplit/>
      </w:trPr>
      <w:tc>
        <w:tcPr>
          <w:tcW w:w="4289" w:type="dxa"/>
        </w:tcPr>
        <w:p w14:paraId="1AB149B2" w14:textId="77777777" w:rsidR="005D1B27" w:rsidRPr="008D6374" w:rsidRDefault="005D1B27" w:rsidP="007439A3">
          <w:pPr>
            <w:pStyle w:val="Footer"/>
          </w:pPr>
          <w:r>
            <w:t>Historical Notes</w:t>
          </w:r>
        </w:p>
      </w:tc>
      <w:tc>
        <w:tcPr>
          <w:tcW w:w="1350" w:type="dxa"/>
        </w:tcPr>
        <w:p w14:paraId="1E64EA63" w14:textId="77777777" w:rsidR="005D1B27" w:rsidRPr="008D6374" w:rsidRDefault="006270F9"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sidR="005D1B27">
            <w:rPr>
              <w:noProof/>
            </w:rPr>
            <w:t>26</w:t>
          </w:r>
          <w:r w:rsidR="005D1B27" w:rsidRPr="008D6374">
            <w:fldChar w:fldCharType="end"/>
          </w:r>
        </w:p>
      </w:tc>
      <w:tc>
        <w:tcPr>
          <w:tcW w:w="4290" w:type="dxa"/>
        </w:tcPr>
        <w:p w14:paraId="20809EB3" w14:textId="77777777" w:rsidR="005D1B27" w:rsidRPr="00540D85" w:rsidRDefault="005D1B27" w:rsidP="007439A3">
          <w:pPr>
            <w:pStyle w:val="Footer"/>
            <w:jc w:val="right"/>
          </w:pPr>
          <w:r>
            <w:t>Historical Notes</w:t>
          </w:r>
        </w:p>
      </w:tc>
    </w:tr>
  </w:tbl>
  <w:p w14:paraId="34B3C37F" w14:textId="77777777" w:rsidR="005D1B27" w:rsidRPr="00540D85" w:rsidRDefault="005D1B27"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F72E" w14:textId="77777777" w:rsidR="005D1B27" w:rsidRDefault="005D1B27" w:rsidP="00AE3D11">
    <w:pPr>
      <w:pStyle w:val="Footer"/>
      <w:jc w:val="center"/>
    </w:pPr>
    <w:r>
      <w:fldChar w:fldCharType="begin"/>
    </w:r>
    <w:r>
      <w:instrText xml:space="preserve"> PAGE   \* MERGEFORMAT </w:instrText>
    </w:r>
    <w:r>
      <w:fldChar w:fldCharType="separate"/>
    </w:r>
    <w:r w:rsidR="005374C9">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D04C5" w:rsidRPr="00540D85" w14:paraId="6E99EF2A" w14:textId="77777777" w:rsidTr="00FC4F7E">
      <w:trPr>
        <w:cantSplit/>
      </w:trPr>
      <w:tc>
        <w:tcPr>
          <w:tcW w:w="4289" w:type="dxa"/>
        </w:tcPr>
        <w:p w14:paraId="34AD3F29" w14:textId="77777777" w:rsidR="008D04C5" w:rsidRPr="008D6374" w:rsidRDefault="008D04C5" w:rsidP="00D44222">
          <w:pPr>
            <w:pStyle w:val="Footer"/>
          </w:pPr>
          <w:r>
            <w:t xml:space="preserve">Table of </w:t>
          </w:r>
          <w:r w:rsidR="00D44222">
            <w:t>C</w:t>
          </w:r>
          <w:r>
            <w:t>ontents</w:t>
          </w:r>
        </w:p>
      </w:tc>
      <w:tc>
        <w:tcPr>
          <w:tcW w:w="1350" w:type="dxa"/>
        </w:tcPr>
        <w:p w14:paraId="755CDF42" w14:textId="77777777" w:rsidR="008D04C5" w:rsidRPr="008D6374" w:rsidRDefault="006270F9"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8D04C5" w:rsidRPr="008D6374">
            <w:t xml:space="preserve"> - </w:t>
          </w:r>
          <w:r w:rsidR="008D04C5" w:rsidRPr="008D6374">
            <w:fldChar w:fldCharType="begin"/>
          </w:r>
          <w:r w:rsidR="008D04C5" w:rsidRPr="008D6374">
            <w:instrText xml:space="preserve"> PAGE   \* MERGEFORMAT </w:instrText>
          </w:r>
          <w:r w:rsidR="008D04C5" w:rsidRPr="008D6374">
            <w:fldChar w:fldCharType="separate"/>
          </w:r>
          <w:r w:rsidR="003A3DB6">
            <w:rPr>
              <w:noProof/>
            </w:rPr>
            <w:t>iv</w:t>
          </w:r>
          <w:r w:rsidR="008D04C5" w:rsidRPr="008D6374">
            <w:fldChar w:fldCharType="end"/>
          </w:r>
        </w:p>
      </w:tc>
      <w:tc>
        <w:tcPr>
          <w:tcW w:w="4290" w:type="dxa"/>
        </w:tcPr>
        <w:p w14:paraId="06EDDF3E" w14:textId="77777777" w:rsidR="008D04C5" w:rsidRPr="00540D85" w:rsidRDefault="008D04C5" w:rsidP="00D44222">
          <w:pPr>
            <w:pStyle w:val="Footer"/>
            <w:jc w:val="right"/>
          </w:pPr>
          <w:r>
            <w:t xml:space="preserve">Table of </w:t>
          </w:r>
          <w:r w:rsidR="00D44222">
            <w:t>C</w:t>
          </w:r>
          <w:r>
            <w:t>ontents</w:t>
          </w:r>
        </w:p>
      </w:tc>
    </w:tr>
  </w:tbl>
  <w:p w14:paraId="22790D74" w14:textId="77777777" w:rsidR="005D1B27" w:rsidRDefault="005D1B27"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D04C5" w:rsidRPr="00540D85" w14:paraId="31627C7C" w14:textId="77777777" w:rsidTr="00FC4F7E">
      <w:trPr>
        <w:cantSplit/>
      </w:trPr>
      <w:tc>
        <w:tcPr>
          <w:tcW w:w="4289" w:type="dxa"/>
        </w:tcPr>
        <w:p w14:paraId="1204B058" w14:textId="77777777" w:rsidR="008D04C5" w:rsidRPr="008D6374" w:rsidRDefault="008D04C5" w:rsidP="00D44222">
          <w:pPr>
            <w:pStyle w:val="Footer"/>
          </w:pPr>
          <w:r>
            <w:t xml:space="preserve">Table of </w:t>
          </w:r>
          <w:r w:rsidR="00D44222">
            <w:t>C</w:t>
          </w:r>
          <w:r>
            <w:t>ontents</w:t>
          </w:r>
        </w:p>
      </w:tc>
      <w:tc>
        <w:tcPr>
          <w:tcW w:w="1350" w:type="dxa"/>
        </w:tcPr>
        <w:p w14:paraId="58EDE5E0" w14:textId="77777777" w:rsidR="008D04C5" w:rsidRPr="008D6374" w:rsidRDefault="006270F9"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8D04C5" w:rsidRPr="008D6374">
            <w:t xml:space="preserve"> - </w:t>
          </w:r>
          <w:r w:rsidR="008D04C5" w:rsidRPr="008D6374">
            <w:fldChar w:fldCharType="begin"/>
          </w:r>
          <w:r w:rsidR="008D04C5" w:rsidRPr="008D6374">
            <w:instrText xml:space="preserve"> PAGE   \* MERGEFORMAT </w:instrText>
          </w:r>
          <w:r w:rsidR="008D04C5" w:rsidRPr="008D6374">
            <w:fldChar w:fldCharType="separate"/>
          </w:r>
          <w:r w:rsidR="003A3DB6">
            <w:rPr>
              <w:noProof/>
            </w:rPr>
            <w:t>v</w:t>
          </w:r>
          <w:r w:rsidR="008D04C5" w:rsidRPr="008D6374">
            <w:fldChar w:fldCharType="end"/>
          </w:r>
        </w:p>
      </w:tc>
      <w:tc>
        <w:tcPr>
          <w:tcW w:w="4290" w:type="dxa"/>
        </w:tcPr>
        <w:p w14:paraId="3998AE46" w14:textId="77777777" w:rsidR="008D04C5" w:rsidRPr="00540D85" w:rsidRDefault="008D04C5" w:rsidP="00D44222">
          <w:pPr>
            <w:pStyle w:val="Footer"/>
            <w:jc w:val="right"/>
          </w:pPr>
          <w:r>
            <w:t xml:space="preserve">Table of </w:t>
          </w:r>
          <w:r w:rsidR="00D44222">
            <w:t>C</w:t>
          </w:r>
          <w:r>
            <w:t>ontents</w:t>
          </w:r>
        </w:p>
      </w:tc>
    </w:tr>
  </w:tbl>
  <w:p w14:paraId="2A4E7EB5" w14:textId="77777777" w:rsidR="005D1B27" w:rsidRDefault="005D1B27"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D1B27" w:rsidRPr="00540D85" w14:paraId="316F2CA7" w14:textId="77777777" w:rsidTr="00FC4F7E">
      <w:trPr>
        <w:cantSplit/>
      </w:trPr>
      <w:tc>
        <w:tcPr>
          <w:tcW w:w="4289" w:type="dxa"/>
        </w:tcPr>
        <w:p w14:paraId="02C10E93" w14:textId="77777777" w:rsidR="005D1B27" w:rsidRPr="008D6374" w:rsidRDefault="005D1B27" w:rsidP="00D44222">
          <w:pPr>
            <w:pStyle w:val="Footer"/>
          </w:pPr>
          <w:r>
            <w:t xml:space="preserve">Table of </w:t>
          </w:r>
          <w:r w:rsidR="00D44222">
            <w:t>C</w:t>
          </w:r>
          <w:r>
            <w:t>ontents</w:t>
          </w:r>
        </w:p>
      </w:tc>
      <w:tc>
        <w:tcPr>
          <w:tcW w:w="1350" w:type="dxa"/>
        </w:tcPr>
        <w:p w14:paraId="4358BE4C" w14:textId="77777777" w:rsidR="005D1B27" w:rsidRPr="008D6374" w:rsidRDefault="006270F9"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sidR="005374C9">
            <w:rPr>
              <w:noProof/>
            </w:rPr>
            <w:t>iii</w:t>
          </w:r>
          <w:r w:rsidR="005D1B27" w:rsidRPr="008D6374">
            <w:fldChar w:fldCharType="end"/>
          </w:r>
        </w:p>
      </w:tc>
      <w:tc>
        <w:tcPr>
          <w:tcW w:w="4290" w:type="dxa"/>
        </w:tcPr>
        <w:p w14:paraId="3E89397C" w14:textId="77777777" w:rsidR="005D1B27" w:rsidRPr="00540D85" w:rsidRDefault="005D1B27" w:rsidP="00D44222">
          <w:pPr>
            <w:pStyle w:val="Footer"/>
            <w:jc w:val="right"/>
          </w:pPr>
          <w:r>
            <w:t xml:space="preserve">Table of </w:t>
          </w:r>
          <w:r w:rsidR="00D44222">
            <w:t>C</w:t>
          </w:r>
          <w:r>
            <w:t>ontents</w:t>
          </w:r>
        </w:p>
      </w:tc>
    </w:tr>
  </w:tbl>
  <w:p w14:paraId="1110DE02" w14:textId="77777777" w:rsidR="005D1B27" w:rsidRPr="00540D85" w:rsidRDefault="005D1B27"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A65966" w:rsidRPr="00540D85" w14:paraId="1640CB90" w14:textId="77777777" w:rsidTr="00FC4F7E">
      <w:trPr>
        <w:cantSplit/>
      </w:trPr>
      <w:tc>
        <w:tcPr>
          <w:tcW w:w="4289" w:type="dxa"/>
        </w:tcPr>
        <w:p w14:paraId="5B5BEEC2" w14:textId="77777777" w:rsidR="00A65966" w:rsidRPr="008D6374" w:rsidRDefault="00CD315C" w:rsidP="00D44222">
          <w:pPr>
            <w:pStyle w:val="Footer"/>
          </w:pPr>
          <w:r w:rsidRPr="00CD315C">
            <w:t>437-002-1081</w:t>
          </w:r>
          <w:r w:rsidR="008408C3">
            <w:t xml:space="preserve"> (1)(b)(C)</w:t>
          </w:r>
        </w:p>
      </w:tc>
      <w:tc>
        <w:tcPr>
          <w:tcW w:w="1350" w:type="dxa"/>
        </w:tcPr>
        <w:p w14:paraId="70E35E31" w14:textId="77777777" w:rsidR="00A65966" w:rsidRPr="008D6374" w:rsidRDefault="006270F9"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A65966" w:rsidRPr="008D6374">
            <w:t xml:space="preserve"> - </w:t>
          </w:r>
          <w:r w:rsidR="00A65966" w:rsidRPr="008D6374">
            <w:fldChar w:fldCharType="begin"/>
          </w:r>
          <w:r w:rsidR="00A65966" w:rsidRPr="008D6374">
            <w:instrText xml:space="preserve"> PAGE   \* MERGEFORMAT </w:instrText>
          </w:r>
          <w:r w:rsidR="00A65966" w:rsidRPr="008D6374">
            <w:fldChar w:fldCharType="separate"/>
          </w:r>
          <w:r w:rsidR="003A3DB6">
            <w:rPr>
              <w:noProof/>
            </w:rPr>
            <w:t>2</w:t>
          </w:r>
          <w:r w:rsidR="00A65966" w:rsidRPr="008D6374">
            <w:fldChar w:fldCharType="end"/>
          </w:r>
        </w:p>
      </w:tc>
      <w:tc>
        <w:tcPr>
          <w:tcW w:w="4290" w:type="dxa"/>
        </w:tcPr>
        <w:p w14:paraId="5DA17636" w14:textId="77777777" w:rsidR="00A65966" w:rsidRPr="00540D85" w:rsidRDefault="00CD315C" w:rsidP="00D44222">
          <w:pPr>
            <w:pStyle w:val="Footer"/>
            <w:jc w:val="right"/>
          </w:pPr>
          <w:r w:rsidRPr="00CD315C">
            <w:t>437-002-1081</w:t>
          </w:r>
          <w:r w:rsidR="008408C3">
            <w:t xml:space="preserve"> (2)(f)</w:t>
          </w:r>
          <w:r>
            <w:t xml:space="preserve"> </w:t>
          </w:r>
        </w:p>
      </w:tc>
    </w:tr>
  </w:tbl>
  <w:p w14:paraId="4ECE13E6" w14:textId="77777777" w:rsidR="00A65966" w:rsidRDefault="00A65966"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A65966" w:rsidRPr="00540D85" w14:paraId="044852A5" w14:textId="77777777" w:rsidTr="00FC4F7E">
      <w:trPr>
        <w:cantSplit/>
      </w:trPr>
      <w:tc>
        <w:tcPr>
          <w:tcW w:w="4289" w:type="dxa"/>
        </w:tcPr>
        <w:p w14:paraId="35736658" w14:textId="77777777" w:rsidR="00A65966" w:rsidRPr="008D6374" w:rsidRDefault="00CD315C" w:rsidP="0092599E">
          <w:pPr>
            <w:pStyle w:val="Footer"/>
          </w:pPr>
          <w:r w:rsidRPr="00CD315C">
            <w:t>437-002-1081</w:t>
          </w:r>
          <w:r>
            <w:t xml:space="preserve"> </w:t>
          </w:r>
          <w:r w:rsidR="008408C3">
            <w:t>(3)</w:t>
          </w:r>
        </w:p>
      </w:tc>
      <w:tc>
        <w:tcPr>
          <w:tcW w:w="1350" w:type="dxa"/>
        </w:tcPr>
        <w:p w14:paraId="272A0108" w14:textId="77777777" w:rsidR="00A65966" w:rsidRPr="008D6374" w:rsidRDefault="006270F9"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A65966" w:rsidRPr="008D6374">
            <w:t xml:space="preserve"> - </w:t>
          </w:r>
          <w:r w:rsidR="00A65966" w:rsidRPr="008D6374">
            <w:fldChar w:fldCharType="begin"/>
          </w:r>
          <w:r w:rsidR="00A65966" w:rsidRPr="008D6374">
            <w:instrText xml:space="preserve"> PAGE   \* MERGEFORMAT </w:instrText>
          </w:r>
          <w:r w:rsidR="00A65966" w:rsidRPr="008D6374">
            <w:fldChar w:fldCharType="separate"/>
          </w:r>
          <w:r w:rsidR="003A3DB6">
            <w:rPr>
              <w:noProof/>
            </w:rPr>
            <w:t>3</w:t>
          </w:r>
          <w:r w:rsidR="00A65966" w:rsidRPr="008D6374">
            <w:fldChar w:fldCharType="end"/>
          </w:r>
        </w:p>
      </w:tc>
      <w:tc>
        <w:tcPr>
          <w:tcW w:w="4290" w:type="dxa"/>
        </w:tcPr>
        <w:p w14:paraId="11765930" w14:textId="77777777" w:rsidR="00A65966" w:rsidRPr="00540D85" w:rsidRDefault="00CD315C" w:rsidP="00D44222">
          <w:pPr>
            <w:pStyle w:val="Footer"/>
            <w:jc w:val="right"/>
          </w:pPr>
          <w:r w:rsidRPr="00CD315C">
            <w:t>437-002-1081</w:t>
          </w:r>
          <w:r>
            <w:t xml:space="preserve"> </w:t>
          </w:r>
          <w:r w:rsidR="008408C3">
            <w:t>(4)(a)(C)</w:t>
          </w:r>
        </w:p>
      </w:tc>
    </w:tr>
  </w:tbl>
  <w:p w14:paraId="65972D00" w14:textId="77777777" w:rsidR="00A65966" w:rsidRDefault="00A65966"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F738C" w:rsidRPr="00540D85" w14:paraId="59CD56D9" w14:textId="77777777" w:rsidTr="00FC4F7E">
      <w:trPr>
        <w:cantSplit/>
      </w:trPr>
      <w:tc>
        <w:tcPr>
          <w:tcW w:w="4289" w:type="dxa"/>
        </w:tcPr>
        <w:p w14:paraId="4D129015" w14:textId="77777777" w:rsidR="00DF738C" w:rsidRPr="008D6374" w:rsidRDefault="00CD315C" w:rsidP="00D44222">
          <w:pPr>
            <w:pStyle w:val="Footer"/>
          </w:pPr>
          <w:r w:rsidRPr="00CD315C">
            <w:t>437-002-1081</w:t>
          </w:r>
          <w:r>
            <w:t xml:space="preserve"> </w:t>
          </w:r>
        </w:p>
      </w:tc>
      <w:tc>
        <w:tcPr>
          <w:tcW w:w="1350" w:type="dxa"/>
        </w:tcPr>
        <w:p w14:paraId="5C2E5CA7" w14:textId="77777777" w:rsidR="00DF738C" w:rsidRPr="008D6374" w:rsidRDefault="006270F9"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92330">
                <w:rPr>
                  <w:rStyle w:val="FooterChar"/>
                </w:rPr>
                <w:t>Z</w:t>
              </w:r>
            </w:sdtContent>
          </w:sdt>
          <w:r w:rsidR="00DF738C" w:rsidRPr="008D6374">
            <w:t xml:space="preserve"> - </w:t>
          </w:r>
          <w:r w:rsidR="00DF738C" w:rsidRPr="008D6374">
            <w:fldChar w:fldCharType="begin"/>
          </w:r>
          <w:r w:rsidR="00DF738C" w:rsidRPr="008D6374">
            <w:instrText xml:space="preserve"> PAGE   \* MERGEFORMAT </w:instrText>
          </w:r>
          <w:r w:rsidR="00DF738C" w:rsidRPr="008D6374">
            <w:fldChar w:fldCharType="separate"/>
          </w:r>
          <w:r w:rsidR="005374C9">
            <w:rPr>
              <w:noProof/>
            </w:rPr>
            <w:t>1</w:t>
          </w:r>
          <w:r w:rsidR="00DF738C" w:rsidRPr="008D6374">
            <w:fldChar w:fldCharType="end"/>
          </w:r>
        </w:p>
      </w:tc>
      <w:tc>
        <w:tcPr>
          <w:tcW w:w="4290" w:type="dxa"/>
        </w:tcPr>
        <w:p w14:paraId="79A56980" w14:textId="77777777" w:rsidR="00DF738C" w:rsidRPr="00540D85" w:rsidRDefault="00CD315C" w:rsidP="00D44222">
          <w:pPr>
            <w:pStyle w:val="Footer"/>
            <w:jc w:val="right"/>
          </w:pPr>
          <w:r w:rsidRPr="00CD315C">
            <w:t>437-002-1081</w:t>
          </w:r>
          <w:r w:rsidR="00B076D0">
            <w:t xml:space="preserve"> (1)(b)(B)</w:t>
          </w:r>
          <w:r>
            <w:t xml:space="preserve"> </w:t>
          </w:r>
        </w:p>
      </w:tc>
    </w:tr>
  </w:tbl>
  <w:p w14:paraId="3589ACB5" w14:textId="77777777" w:rsidR="00DF738C" w:rsidRPr="00540D85" w:rsidRDefault="00DF738C"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408C3" w:rsidRPr="00540D85" w14:paraId="197AA81C" w14:textId="77777777" w:rsidTr="00FC4F7E">
      <w:trPr>
        <w:cantSplit/>
      </w:trPr>
      <w:tc>
        <w:tcPr>
          <w:tcW w:w="4289" w:type="dxa"/>
        </w:tcPr>
        <w:p w14:paraId="66BC1085" w14:textId="77777777" w:rsidR="008408C3" w:rsidRPr="008D6374" w:rsidRDefault="008408C3" w:rsidP="00D44222">
          <w:pPr>
            <w:pStyle w:val="Footer"/>
          </w:pPr>
          <w:r w:rsidRPr="00CD315C">
            <w:t>437-002-1081</w:t>
          </w:r>
          <w:r w:rsidRPr="008408C3">
            <w:rPr>
              <w:b/>
            </w:rPr>
            <w:t xml:space="preserve"> (</w:t>
          </w:r>
          <w:r>
            <w:rPr>
              <w:b/>
            </w:rPr>
            <w:t>4</w:t>
          </w:r>
          <w:r w:rsidRPr="008408C3">
            <w:rPr>
              <w:b/>
            </w:rPr>
            <w:t>)</w:t>
          </w:r>
          <w:r>
            <w:rPr>
              <w:b/>
            </w:rPr>
            <w:t>(b)</w:t>
          </w:r>
        </w:p>
      </w:tc>
      <w:tc>
        <w:tcPr>
          <w:tcW w:w="1350" w:type="dxa"/>
        </w:tcPr>
        <w:p w14:paraId="57D2B66D" w14:textId="77777777" w:rsidR="008408C3" w:rsidRPr="008D6374" w:rsidRDefault="006270F9" w:rsidP="00FC4F7E">
          <w:pPr>
            <w:pStyle w:val="Footer"/>
            <w:jc w:val="center"/>
          </w:pPr>
          <w:sdt>
            <w:sdtPr>
              <w:rPr>
                <w:rStyle w:val="FooterChar"/>
              </w:rPr>
              <w:alias w:val="Subdivision"/>
              <w:tag w:val=""/>
              <w:id w:val="-172058067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8408C3">
                <w:rPr>
                  <w:rStyle w:val="FooterChar"/>
                </w:rPr>
                <w:t>Z</w:t>
              </w:r>
            </w:sdtContent>
          </w:sdt>
          <w:r w:rsidR="008408C3" w:rsidRPr="008D6374">
            <w:t xml:space="preserve"> - </w:t>
          </w:r>
          <w:r w:rsidR="008408C3" w:rsidRPr="008D6374">
            <w:fldChar w:fldCharType="begin"/>
          </w:r>
          <w:r w:rsidR="008408C3" w:rsidRPr="008D6374">
            <w:instrText xml:space="preserve"> PAGE   \* MERGEFORMAT </w:instrText>
          </w:r>
          <w:r w:rsidR="008408C3" w:rsidRPr="008D6374">
            <w:fldChar w:fldCharType="separate"/>
          </w:r>
          <w:r w:rsidR="008408C3">
            <w:rPr>
              <w:noProof/>
            </w:rPr>
            <w:t>2</w:t>
          </w:r>
          <w:r w:rsidR="008408C3" w:rsidRPr="008D6374">
            <w:fldChar w:fldCharType="end"/>
          </w:r>
        </w:p>
      </w:tc>
      <w:tc>
        <w:tcPr>
          <w:tcW w:w="4290" w:type="dxa"/>
        </w:tcPr>
        <w:p w14:paraId="49AD53F5" w14:textId="77777777" w:rsidR="008408C3" w:rsidRPr="00540D85" w:rsidRDefault="008408C3" w:rsidP="00D44222">
          <w:pPr>
            <w:pStyle w:val="Footer"/>
            <w:jc w:val="right"/>
          </w:pPr>
          <w:r w:rsidRPr="00CD315C">
            <w:t>437-002-1081</w:t>
          </w:r>
          <w:r>
            <w:t xml:space="preserve"> (4)(j) </w:t>
          </w:r>
        </w:p>
      </w:tc>
    </w:tr>
  </w:tbl>
  <w:p w14:paraId="1190064D" w14:textId="77777777" w:rsidR="008408C3" w:rsidRDefault="008408C3"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616F4" w14:textId="77777777" w:rsidR="00392330" w:rsidRDefault="00392330">
      <w:r>
        <w:separator/>
      </w:r>
    </w:p>
    <w:p w14:paraId="64CB4DA7" w14:textId="77777777" w:rsidR="00392330" w:rsidRDefault="00392330"/>
  </w:footnote>
  <w:footnote w:type="continuationSeparator" w:id="0">
    <w:p w14:paraId="49F94F97" w14:textId="77777777" w:rsidR="00392330" w:rsidRDefault="00392330">
      <w:r>
        <w:continuationSeparator/>
      </w:r>
    </w:p>
    <w:p w14:paraId="7C6F3569" w14:textId="77777777" w:rsidR="00392330" w:rsidRDefault="00392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26151E" w14:paraId="06571544" w14:textId="7777777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E500E5D" w14:textId="77777777" w:rsidR="0026151E" w:rsidRPr="00D36179" w:rsidRDefault="00392330"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14:paraId="4043DBE1" w14:textId="77777777" w:rsidR="0026151E" w:rsidRPr="00B66A96" w:rsidRDefault="006270F9"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92330">
                <w:rPr>
                  <w:rStyle w:val="HeaderChar"/>
                </w:rPr>
                <w:t>Protection from Wildfire Smoke</w:t>
              </w:r>
            </w:sdtContent>
          </w:sdt>
        </w:p>
      </w:tc>
    </w:tr>
    <w:tr w:rsidR="0026151E" w:rsidRPr="00BA1B08" w14:paraId="3C385726" w14:textId="77777777" w:rsidTr="0026151E">
      <w:trPr>
        <w:cantSplit/>
      </w:trPr>
      <w:tc>
        <w:tcPr>
          <w:tcW w:w="1350" w:type="dxa"/>
          <w:tcBorders>
            <w:top w:val="single" w:sz="12" w:space="0" w:color="808080" w:themeColor="background1" w:themeShade="80"/>
          </w:tcBorders>
          <w:noWrap/>
          <w:vAlign w:val="center"/>
        </w:tcPr>
        <w:p w14:paraId="55D792F7" w14:textId="77777777" w:rsidR="0026151E" w:rsidRPr="00793393" w:rsidRDefault="006270F9"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A4003">
                <w:rPr>
                  <w:rStyle w:val="Headertiny"/>
                </w:rPr>
                <w:t>Division 2</w:t>
              </w:r>
            </w:sdtContent>
          </w:sdt>
          <w:r w:rsidR="0026151E" w:rsidRPr="00793393">
            <w:rPr>
              <w:rStyle w:val="Headertiny"/>
            </w:rPr>
            <w:t xml:space="preserve"> </w:t>
          </w:r>
        </w:p>
      </w:tc>
      <w:tc>
        <w:tcPr>
          <w:tcW w:w="1440" w:type="dxa"/>
          <w:tcBorders>
            <w:top w:val="single" w:sz="12" w:space="0" w:color="808080" w:themeColor="background1" w:themeShade="80"/>
          </w:tcBorders>
          <w:vAlign w:val="center"/>
        </w:tcPr>
        <w:p w14:paraId="4A2DEF96" w14:textId="2F5CAF29" w:rsidR="0026151E" w:rsidRPr="00793393" w:rsidRDefault="0026151E"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439281473"/>
              <w:placeholder>
                <w:docPart w:val="7541D38EE25A44408D69888CF9947FDE"/>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B377E9" w:rsidRPr="00B377E9">
                <w:rPr>
                  <w:rStyle w:val="Headertiny"/>
                </w:rPr>
                <w:t>4-2022</w:t>
              </w:r>
            </w:sdtContent>
          </w:sdt>
          <w:r w:rsidRPr="00793393">
            <w:rPr>
              <w:rStyle w:val="Headertiny"/>
            </w:rPr>
            <w:fldChar w:fldCharType="end"/>
          </w:r>
        </w:p>
      </w:tc>
      <w:tc>
        <w:tcPr>
          <w:tcW w:w="2970" w:type="dxa"/>
          <w:tcBorders>
            <w:top w:val="single" w:sz="12" w:space="0" w:color="808080" w:themeColor="background1" w:themeShade="80"/>
          </w:tcBorders>
          <w:vAlign w:val="center"/>
        </w:tcPr>
        <w:p w14:paraId="5F4D2FDF" w14:textId="77777777" w:rsidR="0026151E" w:rsidRPr="00793393" w:rsidRDefault="006270F9"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6151E" w:rsidRPr="00793393">
                <w:rPr>
                  <w:rStyle w:val="Headertiny"/>
                </w:rPr>
                <w:t>Oregon Administrative Rules</w:t>
              </w:r>
            </w:sdtContent>
          </w:sdt>
        </w:p>
      </w:tc>
      <w:tc>
        <w:tcPr>
          <w:tcW w:w="4176" w:type="dxa"/>
          <w:tcBorders>
            <w:top w:val="single" w:sz="12" w:space="0" w:color="808080" w:themeColor="background1" w:themeShade="80"/>
          </w:tcBorders>
          <w:vAlign w:val="center"/>
        </w:tcPr>
        <w:p w14:paraId="2F326ACF" w14:textId="77777777" w:rsidR="0026151E" w:rsidRPr="00793393" w:rsidRDefault="006270F9"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6151E" w:rsidRPr="00793393">
                <w:rPr>
                  <w:rStyle w:val="Headertiny"/>
                </w:rPr>
                <w:t>Oregon Occupational Safety and Health Division</w:t>
              </w:r>
            </w:sdtContent>
          </w:sdt>
        </w:p>
      </w:tc>
    </w:tr>
  </w:tbl>
  <w:p w14:paraId="58741F60" w14:textId="77777777" w:rsidR="005D1B27" w:rsidRDefault="005D1B27"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26151E" w14:paraId="2EE2A39D" w14:textId="77777777" w:rsidTr="0026151E">
      <w:trPr>
        <w:cantSplit/>
      </w:trPr>
      <w:tc>
        <w:tcPr>
          <w:tcW w:w="8730" w:type="dxa"/>
          <w:gridSpan w:val="3"/>
          <w:vAlign w:val="center"/>
        </w:tcPr>
        <w:p w14:paraId="4EFB9608" w14:textId="77777777" w:rsidR="0026151E" w:rsidRPr="00B66A96" w:rsidRDefault="006270F9"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92330">
                <w:rPr>
                  <w:rStyle w:val="HeaderChar"/>
                </w:rPr>
                <w:t>Protection from Wildfire Smoke</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24B78128" w14:textId="77777777" w:rsidR="0026151E" w:rsidRPr="00D36179" w:rsidRDefault="00392330" w:rsidP="0026151E">
              <w:pPr>
                <w:pStyle w:val="Header"/>
                <w:jc w:val="right"/>
                <w:rPr>
                  <w:rStyle w:val="Headerlarge"/>
                </w:rPr>
              </w:pPr>
              <w:r>
                <w:rPr>
                  <w:rStyle w:val="Headerlarge"/>
                </w:rPr>
                <w:t>Z</w:t>
              </w:r>
            </w:p>
          </w:sdtContent>
        </w:sdt>
      </w:tc>
    </w:tr>
    <w:tr w:rsidR="0026151E" w:rsidRPr="00121E2A" w14:paraId="2155B121" w14:textId="77777777" w:rsidTr="0026151E">
      <w:trPr>
        <w:cantSplit/>
      </w:trPr>
      <w:tc>
        <w:tcPr>
          <w:tcW w:w="4176" w:type="dxa"/>
          <w:tcBorders>
            <w:top w:val="single" w:sz="12" w:space="0" w:color="808080" w:themeColor="background1" w:themeShade="80"/>
            <w:bottom w:val="nil"/>
            <w:right w:val="nil"/>
          </w:tcBorders>
          <w:noWrap/>
          <w:vAlign w:val="center"/>
        </w:tcPr>
        <w:p w14:paraId="47AB8DD5" w14:textId="77777777" w:rsidR="0026151E" w:rsidRPr="00EF3370" w:rsidRDefault="006270F9"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6151E"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1B6D0F61" w14:textId="77777777" w:rsidR="0026151E" w:rsidRPr="00EF3370" w:rsidRDefault="006270F9"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6151E"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41F3BE66" w14:textId="30BC8FA1" w:rsidR="0026151E" w:rsidRPr="00EF3370" w:rsidRDefault="0026151E"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216969640"/>
              <w:placeholder>
                <w:docPart w:val="A8817846A0784AAAA98F1A788115565D"/>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B377E9" w:rsidRPr="00B377E9">
                <w:rPr>
                  <w:rStyle w:val="Headertiny"/>
                </w:rPr>
                <w:t>4-2022</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3EDC37CE" w14:textId="77777777" w:rsidR="0026151E" w:rsidRPr="00EF3370" w:rsidRDefault="006270F9"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A4003">
                <w:rPr>
                  <w:rStyle w:val="Headertiny"/>
                </w:rPr>
                <w:t>Division 2</w:t>
              </w:r>
            </w:sdtContent>
          </w:sdt>
        </w:p>
      </w:tc>
    </w:tr>
  </w:tbl>
  <w:p w14:paraId="6F7909EA" w14:textId="77777777" w:rsidR="005D1B27" w:rsidRDefault="005D1B27"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26151E" w14:paraId="25C2DED8" w14:textId="77777777" w:rsidTr="0026151E">
      <w:trPr>
        <w:cantSplit/>
      </w:trPr>
      <w:tc>
        <w:tcPr>
          <w:tcW w:w="8730" w:type="dxa"/>
          <w:gridSpan w:val="3"/>
          <w:vAlign w:val="center"/>
        </w:tcPr>
        <w:p w14:paraId="1490B888" w14:textId="77777777" w:rsidR="0026151E" w:rsidRPr="00B66A96" w:rsidRDefault="006270F9"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92330">
                <w:rPr>
                  <w:rStyle w:val="HeaderChar"/>
                </w:rPr>
                <w:t>Protection from Wildfire Smoke</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F03F461" w14:textId="77777777" w:rsidR="0026151E" w:rsidRPr="00D36179" w:rsidRDefault="00392330" w:rsidP="0026151E">
              <w:pPr>
                <w:pStyle w:val="Header"/>
                <w:jc w:val="right"/>
                <w:rPr>
                  <w:rStyle w:val="Headerlarge"/>
                </w:rPr>
              </w:pPr>
              <w:r>
                <w:rPr>
                  <w:rStyle w:val="Headerlarge"/>
                </w:rPr>
                <w:t>Z</w:t>
              </w:r>
            </w:p>
          </w:sdtContent>
        </w:sdt>
      </w:tc>
    </w:tr>
    <w:tr w:rsidR="0026151E" w:rsidRPr="00121E2A" w14:paraId="1131D9C4" w14:textId="77777777" w:rsidTr="0026151E">
      <w:trPr>
        <w:cantSplit/>
      </w:trPr>
      <w:tc>
        <w:tcPr>
          <w:tcW w:w="4176" w:type="dxa"/>
          <w:tcBorders>
            <w:top w:val="single" w:sz="12" w:space="0" w:color="808080" w:themeColor="background1" w:themeShade="80"/>
            <w:bottom w:val="nil"/>
            <w:right w:val="nil"/>
          </w:tcBorders>
          <w:noWrap/>
          <w:vAlign w:val="center"/>
        </w:tcPr>
        <w:p w14:paraId="3FEBC163" w14:textId="77777777" w:rsidR="0026151E" w:rsidRPr="00EF3370" w:rsidRDefault="006270F9"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6151E"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5266C04A" w14:textId="77777777" w:rsidR="0026151E" w:rsidRPr="00EF3370" w:rsidRDefault="006270F9"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6151E"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4AEBC21B" w14:textId="43584F18" w:rsidR="0026151E" w:rsidRPr="00EF3370" w:rsidRDefault="0026151E"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846054820"/>
              <w:placeholder>
                <w:docPart w:val="D3510D5883624C76A808724A43979B59"/>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B377E9" w:rsidRPr="00B377E9">
                <w:rPr>
                  <w:rStyle w:val="Headertiny"/>
                </w:rPr>
                <w:t>4-2022</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51825CE0" w14:textId="77777777" w:rsidR="0026151E" w:rsidRPr="00EF3370" w:rsidRDefault="006270F9"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A4003">
                <w:rPr>
                  <w:rStyle w:val="Headertiny"/>
                </w:rPr>
                <w:t>Division 2</w:t>
              </w:r>
            </w:sdtContent>
          </w:sdt>
        </w:p>
      </w:tc>
    </w:tr>
  </w:tbl>
  <w:p w14:paraId="407BE641" w14:textId="77777777" w:rsidR="005D1B27" w:rsidRPr="005900CE" w:rsidRDefault="005D1B27"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5D1B27" w14:paraId="72F483A0" w14:textId="77777777" w:rsidTr="00EF3370">
      <w:trPr>
        <w:cantSplit/>
      </w:trPr>
      <w:tc>
        <w:tcPr>
          <w:tcW w:w="8945" w:type="dxa"/>
          <w:vAlign w:val="center"/>
        </w:tcPr>
        <w:p w14:paraId="765B9EFB" w14:textId="77777777" w:rsidR="005D1B27" w:rsidRPr="00B66A96" w:rsidRDefault="006270F9"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92330">
                <w:rPr>
                  <w:rStyle w:val="HeaderChar"/>
                </w:rPr>
                <w:t>Protection from Wildfire Smoke</w:t>
              </w:r>
            </w:sdtContent>
          </w:sdt>
          <w:r w:rsidR="005D1B27">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33EF008A" w14:textId="77777777" w:rsidR="005D1B27" w:rsidRPr="00D36179" w:rsidRDefault="00392330" w:rsidP="007439A3">
              <w:pPr>
                <w:pStyle w:val="Header"/>
                <w:jc w:val="right"/>
                <w:rPr>
                  <w:rStyle w:val="Headerlarge"/>
                </w:rPr>
              </w:pPr>
              <w:r>
                <w:rPr>
                  <w:rStyle w:val="Headerlarge"/>
                </w:rPr>
                <w:t>Z</w:t>
              </w:r>
            </w:p>
          </w:sdtContent>
        </w:sdt>
      </w:tc>
    </w:tr>
    <w:tr w:rsidR="005D1B27" w:rsidRPr="00121E2A" w14:paraId="740926B7" w14:textId="77777777" w:rsidTr="00EF3370">
      <w:trPr>
        <w:cantSplit/>
      </w:trPr>
      <w:tc>
        <w:tcPr>
          <w:tcW w:w="10296" w:type="dxa"/>
          <w:gridSpan w:val="2"/>
          <w:noWrap/>
        </w:tcPr>
        <w:p w14:paraId="296A74A2" w14:textId="77777777" w:rsidR="005D1B27" w:rsidRPr="00EF3370" w:rsidRDefault="005D1B27"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8A4003">
                <w:rPr>
                  <w:rStyle w:val="Headertiny"/>
                </w:rPr>
                <w:t>Division 2</w:t>
              </w:r>
            </w:sdtContent>
          </w:sdt>
          <w:r w:rsidRPr="00EF3370">
            <w:rPr>
              <w:rStyle w:val="Headertiny"/>
            </w:rPr>
            <w:t xml:space="preserve">  </w:t>
          </w:r>
        </w:p>
      </w:tc>
    </w:tr>
  </w:tbl>
  <w:p w14:paraId="1E1F3FB5" w14:textId="77777777" w:rsidR="005D1B27" w:rsidRPr="00B66A96" w:rsidRDefault="005D1B27"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06E10D28"/>
    <w:multiLevelType w:val="hybridMultilevel"/>
    <w:tmpl w:val="2766B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6"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8"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9" w15:restartNumberingAfterBreak="0">
    <w:nsid w:val="434D1A6B"/>
    <w:multiLevelType w:val="hybridMultilevel"/>
    <w:tmpl w:val="A2F41C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3"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25" w15:restartNumberingAfterBreak="0">
    <w:nsid w:val="730F571D"/>
    <w:multiLevelType w:val="hybridMultilevel"/>
    <w:tmpl w:val="6F048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170807">
    <w:abstractNumId w:val="8"/>
  </w:num>
  <w:num w:numId="2" w16cid:durableId="2012950103">
    <w:abstractNumId w:val="11"/>
  </w:num>
  <w:num w:numId="3" w16cid:durableId="531456665">
    <w:abstractNumId w:val="0"/>
  </w:num>
  <w:num w:numId="4" w16cid:durableId="471025542">
    <w:abstractNumId w:val="11"/>
  </w:num>
  <w:num w:numId="5" w16cid:durableId="1380935801">
    <w:abstractNumId w:val="17"/>
  </w:num>
  <w:num w:numId="6" w16cid:durableId="376852976">
    <w:abstractNumId w:val="9"/>
  </w:num>
  <w:num w:numId="7" w16cid:durableId="403576229">
    <w:abstractNumId w:val="9"/>
  </w:num>
  <w:num w:numId="8" w16cid:durableId="1723485296">
    <w:abstractNumId w:val="3"/>
  </w:num>
  <w:num w:numId="9" w16cid:durableId="1632327735">
    <w:abstractNumId w:val="17"/>
  </w:num>
  <w:num w:numId="10" w16cid:durableId="739250233">
    <w:abstractNumId w:val="2"/>
  </w:num>
  <w:num w:numId="11" w16cid:durableId="1237669554">
    <w:abstractNumId w:val="17"/>
  </w:num>
  <w:num w:numId="12" w16cid:durableId="76635722">
    <w:abstractNumId w:val="1"/>
  </w:num>
  <w:num w:numId="13" w16cid:durableId="667902649">
    <w:abstractNumId w:val="17"/>
  </w:num>
  <w:num w:numId="14" w16cid:durableId="1682581673">
    <w:abstractNumId w:val="21"/>
  </w:num>
  <w:num w:numId="15" w16cid:durableId="1189367992">
    <w:abstractNumId w:val="18"/>
  </w:num>
  <w:num w:numId="16" w16cid:durableId="396588512">
    <w:abstractNumId w:val="10"/>
  </w:num>
  <w:num w:numId="17" w16cid:durableId="1882933862">
    <w:abstractNumId w:val="16"/>
  </w:num>
  <w:num w:numId="18" w16cid:durableId="1430000768">
    <w:abstractNumId w:val="7"/>
  </w:num>
  <w:num w:numId="19" w16cid:durableId="1656567176">
    <w:abstractNumId w:val="6"/>
  </w:num>
  <w:num w:numId="20" w16cid:durableId="1390768632">
    <w:abstractNumId w:val="5"/>
  </w:num>
  <w:num w:numId="21" w16cid:durableId="2129618053">
    <w:abstractNumId w:val="4"/>
  </w:num>
  <w:num w:numId="22" w16cid:durableId="1106075200">
    <w:abstractNumId w:val="14"/>
  </w:num>
  <w:num w:numId="23" w16cid:durableId="734619434">
    <w:abstractNumId w:val="20"/>
  </w:num>
  <w:num w:numId="24" w16cid:durableId="2026784838">
    <w:abstractNumId w:val="15"/>
  </w:num>
  <w:num w:numId="25" w16cid:durableId="345788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3682434">
    <w:abstractNumId w:val="24"/>
  </w:num>
  <w:num w:numId="27" w16cid:durableId="422455324">
    <w:abstractNumId w:val="13"/>
  </w:num>
  <w:num w:numId="28" w16cid:durableId="1370187049">
    <w:abstractNumId w:val="22"/>
  </w:num>
  <w:num w:numId="29" w16cid:durableId="63376310">
    <w:abstractNumId w:val="24"/>
  </w:num>
  <w:num w:numId="30" w16cid:durableId="2109344766">
    <w:abstractNumId w:val="24"/>
  </w:num>
  <w:num w:numId="31" w16cid:durableId="138497021">
    <w:abstractNumId w:val="24"/>
  </w:num>
  <w:num w:numId="32" w16cid:durableId="36124478">
    <w:abstractNumId w:val="24"/>
  </w:num>
  <w:num w:numId="33" w16cid:durableId="1010332141">
    <w:abstractNumId w:val="24"/>
  </w:num>
  <w:num w:numId="34" w16cid:durableId="206450636">
    <w:abstractNumId w:val="21"/>
  </w:num>
  <w:num w:numId="35" w16cid:durableId="363409718">
    <w:abstractNumId w:val="7"/>
  </w:num>
  <w:num w:numId="36" w16cid:durableId="594901929">
    <w:abstractNumId w:val="6"/>
  </w:num>
  <w:num w:numId="37" w16cid:durableId="290793524">
    <w:abstractNumId w:val="5"/>
  </w:num>
  <w:num w:numId="38" w16cid:durableId="1989478328">
    <w:abstractNumId w:val="4"/>
  </w:num>
  <w:num w:numId="39" w16cid:durableId="801843351">
    <w:abstractNumId w:val="17"/>
  </w:num>
  <w:num w:numId="40" w16cid:durableId="993292021">
    <w:abstractNumId w:val="17"/>
  </w:num>
  <w:num w:numId="41" w16cid:durableId="234315194">
    <w:abstractNumId w:val="17"/>
  </w:num>
  <w:num w:numId="42" w16cid:durableId="558827260">
    <w:abstractNumId w:val="17"/>
  </w:num>
  <w:num w:numId="43" w16cid:durableId="1479805126">
    <w:abstractNumId w:val="17"/>
  </w:num>
  <w:num w:numId="44" w16cid:durableId="1875462189">
    <w:abstractNumId w:val="16"/>
  </w:num>
  <w:num w:numId="45" w16cid:durableId="1493640850">
    <w:abstractNumId w:val="15"/>
  </w:num>
  <w:num w:numId="46" w16cid:durableId="1085030692">
    <w:abstractNumId w:val="10"/>
  </w:num>
  <w:num w:numId="47" w16cid:durableId="1536457079">
    <w:abstractNumId w:val="23"/>
  </w:num>
  <w:num w:numId="48" w16cid:durableId="1942487065">
    <w:abstractNumId w:val="12"/>
  </w:num>
  <w:num w:numId="49" w16cid:durableId="2043361576">
    <w:abstractNumId w:val="19"/>
  </w:num>
  <w:num w:numId="50" w16cid:durableId="4878683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30"/>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4532C"/>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5E75"/>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2330"/>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2C3D"/>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270F9"/>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0FE"/>
    <w:rsid w:val="00785F0B"/>
    <w:rsid w:val="00790495"/>
    <w:rsid w:val="00791512"/>
    <w:rsid w:val="00793393"/>
    <w:rsid w:val="007A7422"/>
    <w:rsid w:val="007B4BA9"/>
    <w:rsid w:val="007B4E38"/>
    <w:rsid w:val="007B69E0"/>
    <w:rsid w:val="007B7F9F"/>
    <w:rsid w:val="007C023C"/>
    <w:rsid w:val="007C11E8"/>
    <w:rsid w:val="007C15C9"/>
    <w:rsid w:val="007C2D0E"/>
    <w:rsid w:val="007D7EDC"/>
    <w:rsid w:val="007E24C2"/>
    <w:rsid w:val="007F3751"/>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35077"/>
    <w:rsid w:val="008408C3"/>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003"/>
    <w:rsid w:val="008A4D1C"/>
    <w:rsid w:val="008B09E6"/>
    <w:rsid w:val="008B0C2C"/>
    <w:rsid w:val="008B2A73"/>
    <w:rsid w:val="008B4D37"/>
    <w:rsid w:val="008B5610"/>
    <w:rsid w:val="008C0E3F"/>
    <w:rsid w:val="008D04C5"/>
    <w:rsid w:val="008D0BB2"/>
    <w:rsid w:val="008D0F19"/>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3AA5"/>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C7898"/>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785F"/>
    <w:rsid w:val="00A6127D"/>
    <w:rsid w:val="00A61E00"/>
    <w:rsid w:val="00A65966"/>
    <w:rsid w:val="00A70F7A"/>
    <w:rsid w:val="00A72021"/>
    <w:rsid w:val="00A75E02"/>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7D94"/>
    <w:rsid w:val="00AC2AF8"/>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076D0"/>
    <w:rsid w:val="00B22718"/>
    <w:rsid w:val="00B26771"/>
    <w:rsid w:val="00B27681"/>
    <w:rsid w:val="00B30E6B"/>
    <w:rsid w:val="00B32D56"/>
    <w:rsid w:val="00B344CC"/>
    <w:rsid w:val="00B348AF"/>
    <w:rsid w:val="00B377E9"/>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584B"/>
    <w:rsid w:val="00BE02B6"/>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315C"/>
    <w:rsid w:val="00CD31D9"/>
    <w:rsid w:val="00CD51BB"/>
    <w:rsid w:val="00CD66EE"/>
    <w:rsid w:val="00CD75C6"/>
    <w:rsid w:val="00CD7BE5"/>
    <w:rsid w:val="00CE1779"/>
    <w:rsid w:val="00CE594D"/>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3785"/>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B5DBB"/>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3CE"/>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D341A"/>
    <w:rsid w:val="00FE0C55"/>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DFBD87"/>
  <w15:docId w15:val="{7468327D-6ABE-4AE3-AC9B-972161D0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9C7898"/>
    <w:pPr>
      <w:tabs>
        <w:tab w:val="left" w:pos="108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3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A70F7A"/>
    <w:pPr>
      <w:ind w:left="576" w:hanging="576"/>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A70F7A"/>
    <w:pPr>
      <w:ind w:left="1152" w:hanging="576"/>
    </w:pPr>
  </w:style>
  <w:style w:type="paragraph" w:styleId="List3">
    <w:name w:val="List 3"/>
    <w:basedOn w:val="Normal"/>
    <w:uiPriority w:val="1"/>
    <w:qFormat/>
    <w:rsid w:val="00A70F7A"/>
    <w:pPr>
      <w:ind w:left="1728" w:hanging="576"/>
    </w:pPr>
  </w:style>
  <w:style w:type="paragraph" w:styleId="List4">
    <w:name w:val="List 4"/>
    <w:basedOn w:val="Normal"/>
    <w:uiPriority w:val="1"/>
    <w:qFormat/>
    <w:rsid w:val="00A70F7A"/>
    <w:pPr>
      <w:ind w:left="2304" w:hanging="576"/>
    </w:pPr>
  </w:style>
  <w:style w:type="paragraph" w:styleId="List5">
    <w:name w:val="List 5"/>
    <w:basedOn w:val="Normal"/>
    <w:uiPriority w:val="1"/>
    <w:qFormat/>
    <w:rsid w:val="00A70F7A"/>
    <w:pPr>
      <w:ind w:left="2880" w:hanging="576"/>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qFormat/>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0F476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 w:type="character" w:styleId="UnresolvedMention">
    <w:name w:val="Unresolved Mention"/>
    <w:basedOn w:val="DefaultParagraphFont"/>
    <w:uiPriority w:val="99"/>
    <w:semiHidden/>
    <w:unhideWhenUsed/>
    <w:rsid w:val="00FE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customXml" Target="../customXml/item2.xml"/><Relationship Id="rId21" Type="http://schemas.openxmlformats.org/officeDocument/2006/relationships/hyperlink" Target="#NOTEAQI"/><Relationship Id="rId34"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tage-osha.oregon.gov/OSHARules/interps/TG-2024-01.pdf" TargetMode="External"/><Relationship Id="rId29" Type="http://schemas.openxmlformats.org/officeDocument/2006/relationships/footer" Target="footer13.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ntTable" Target="fontTable.xml"/><Relationship Id="rId10" Type="http://schemas.openxmlformats.org/officeDocument/2006/relationships/hyperlink" Target="https://stage-osha.oregon.gov/" TargetMode="External"/><Relationship Id="rId19" Type="http://schemas.openxmlformats.org/officeDocument/2006/relationships/hyperlink" Target="https://stage-osha.oregon.gov/OSHARules/interps/TG-2024-01.pdf" TargetMode="Externa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9\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4EC98D385F4B61AFF1693727C4C300"/>
        <w:category>
          <w:name w:val="General"/>
          <w:gallery w:val="placeholder"/>
        </w:category>
        <w:types>
          <w:type w:val="bbPlcHdr"/>
        </w:types>
        <w:behaviors>
          <w:behavior w:val="content"/>
        </w:behaviors>
        <w:guid w:val="{51AE8896-AE72-4C98-B7A2-B07C088A5BFE}"/>
      </w:docPartPr>
      <w:docPartBody>
        <w:p w:rsidR="002D113A" w:rsidRDefault="00565E50">
          <w:pPr>
            <w:pStyle w:val="934EC98D385F4B61AFF1693727C4C300"/>
          </w:pPr>
          <w:r w:rsidRPr="00B40F01">
            <w:rPr>
              <w:rStyle w:val="PlaceholderText"/>
            </w:rPr>
            <w:t>[Subject]</w:t>
          </w:r>
        </w:p>
      </w:docPartBody>
    </w:docPart>
    <w:docPart>
      <w:docPartPr>
        <w:name w:val="955487BD56B742F6B223D445F9B51F64"/>
        <w:category>
          <w:name w:val="General"/>
          <w:gallery w:val="placeholder"/>
        </w:category>
        <w:types>
          <w:type w:val="bbPlcHdr"/>
        </w:types>
        <w:behaviors>
          <w:behavior w:val="content"/>
        </w:behaviors>
        <w:guid w:val="{9B3969D5-3472-49FC-A0C3-DC6B287F981E}"/>
      </w:docPartPr>
      <w:docPartBody>
        <w:p w:rsidR="002D113A" w:rsidRDefault="00565E50">
          <w:pPr>
            <w:pStyle w:val="955487BD56B742F6B223D445F9B51F64"/>
          </w:pPr>
          <w:r w:rsidRPr="00575648">
            <w:rPr>
              <w:rStyle w:val="PlaceholderText"/>
              <w:rFonts w:eastAsiaTheme="majorEastAsia"/>
            </w:rPr>
            <w:t>Choose an item.</w:t>
          </w:r>
        </w:p>
      </w:docPartBody>
    </w:docPart>
    <w:docPart>
      <w:docPartPr>
        <w:name w:val="CFBEACF27139417A9761B4D79816C552"/>
        <w:category>
          <w:name w:val="General"/>
          <w:gallery w:val="placeholder"/>
        </w:category>
        <w:types>
          <w:type w:val="bbPlcHdr"/>
        </w:types>
        <w:behaviors>
          <w:behavior w:val="content"/>
        </w:behaviors>
        <w:guid w:val="{01B54D87-F41A-4181-83A9-AE900ECD3356}"/>
      </w:docPartPr>
      <w:docPartBody>
        <w:p w:rsidR="002D113A" w:rsidRDefault="00565E50">
          <w:pPr>
            <w:pStyle w:val="CFBEACF27139417A9761B4D79816C552"/>
          </w:pPr>
          <w:r w:rsidRPr="00B40F01">
            <w:rPr>
              <w:rStyle w:val="PlaceholderText"/>
            </w:rPr>
            <w:t>[Title]</w:t>
          </w:r>
        </w:p>
      </w:docPartBody>
    </w:docPart>
    <w:docPart>
      <w:docPartPr>
        <w:name w:val="A9BE60B29DA3441CB7975224D9AEEE66"/>
        <w:category>
          <w:name w:val="General"/>
          <w:gallery w:val="placeholder"/>
        </w:category>
        <w:types>
          <w:type w:val="bbPlcHdr"/>
        </w:types>
        <w:behaviors>
          <w:behavior w:val="content"/>
        </w:behaviors>
        <w:guid w:val="{D52B24B7-2C20-4899-868C-61A7D0A1C495}"/>
      </w:docPartPr>
      <w:docPartBody>
        <w:p w:rsidR="002D113A" w:rsidRDefault="00565E50">
          <w:pPr>
            <w:pStyle w:val="A9BE60B29DA3441CB7975224D9AEEE66"/>
          </w:pPr>
          <w:r w:rsidRPr="00505672">
            <w:rPr>
              <w:rStyle w:val="PlaceholderText"/>
            </w:rPr>
            <w:t>[Keywords]</w:t>
          </w:r>
        </w:p>
      </w:docPartBody>
    </w:docPart>
    <w:docPart>
      <w:docPartPr>
        <w:name w:val="06B29C161BC74696B05423F253E79B09"/>
        <w:category>
          <w:name w:val="General"/>
          <w:gallery w:val="placeholder"/>
        </w:category>
        <w:types>
          <w:type w:val="bbPlcHdr"/>
        </w:types>
        <w:behaviors>
          <w:behavior w:val="content"/>
        </w:behaviors>
        <w:guid w:val="{2B7C0B7F-CD15-423C-8B43-ED632131EEC0}"/>
      </w:docPartPr>
      <w:docPartBody>
        <w:p w:rsidR="002D113A" w:rsidRDefault="00565E50">
          <w:pPr>
            <w:pStyle w:val="06B29C161BC74696B05423F253E79B09"/>
          </w:pPr>
          <w:r w:rsidRPr="000202CD">
            <w:rPr>
              <w:sz w:val="28"/>
            </w:rPr>
            <w:t>Administrative Order 1-2015</w:t>
          </w:r>
        </w:p>
      </w:docPartBody>
    </w:docPart>
    <w:docPart>
      <w:docPartPr>
        <w:name w:val="7541D38EE25A44408D69888CF9947FDE"/>
        <w:category>
          <w:name w:val="General"/>
          <w:gallery w:val="placeholder"/>
        </w:category>
        <w:types>
          <w:type w:val="bbPlcHdr"/>
        </w:types>
        <w:behaviors>
          <w:behavior w:val="content"/>
        </w:behaviors>
        <w:guid w:val="{5F960DE6-2115-40A4-8E45-88D7FDB2ED17}"/>
      </w:docPartPr>
      <w:docPartBody>
        <w:p w:rsidR="00AA4501" w:rsidRDefault="00254D2E" w:rsidP="00254D2E">
          <w:pPr>
            <w:pStyle w:val="7541D38EE25A44408D69888CF9947FDE"/>
          </w:pPr>
          <w:r w:rsidRPr="000202CD">
            <w:rPr>
              <w:sz w:val="28"/>
            </w:rPr>
            <w:t>Administrative Order 1-2015</w:t>
          </w:r>
        </w:p>
      </w:docPartBody>
    </w:docPart>
    <w:docPart>
      <w:docPartPr>
        <w:name w:val="A8817846A0784AAAA98F1A788115565D"/>
        <w:category>
          <w:name w:val="General"/>
          <w:gallery w:val="placeholder"/>
        </w:category>
        <w:types>
          <w:type w:val="bbPlcHdr"/>
        </w:types>
        <w:behaviors>
          <w:behavior w:val="content"/>
        </w:behaviors>
        <w:guid w:val="{E2FD6C3D-1AB2-4D0A-B34C-BFB9E6B386BF}"/>
      </w:docPartPr>
      <w:docPartBody>
        <w:p w:rsidR="00AA4501" w:rsidRDefault="00254D2E" w:rsidP="00254D2E">
          <w:pPr>
            <w:pStyle w:val="A8817846A0784AAAA98F1A788115565D"/>
          </w:pPr>
          <w:r w:rsidRPr="000202CD">
            <w:rPr>
              <w:sz w:val="28"/>
            </w:rPr>
            <w:t>Administrative Order 1-2015</w:t>
          </w:r>
        </w:p>
      </w:docPartBody>
    </w:docPart>
    <w:docPart>
      <w:docPartPr>
        <w:name w:val="D3510D5883624C76A808724A43979B59"/>
        <w:category>
          <w:name w:val="General"/>
          <w:gallery w:val="placeholder"/>
        </w:category>
        <w:types>
          <w:type w:val="bbPlcHdr"/>
        </w:types>
        <w:behaviors>
          <w:behavior w:val="content"/>
        </w:behaviors>
        <w:guid w:val="{3AAF806C-55FF-4595-9D0D-237BD96404F4}"/>
      </w:docPartPr>
      <w:docPartBody>
        <w:p w:rsidR="00AA4501" w:rsidRDefault="00254D2E" w:rsidP="00254D2E">
          <w:pPr>
            <w:pStyle w:val="D3510D5883624C76A808724A43979B59"/>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50"/>
    <w:rsid w:val="00254D2E"/>
    <w:rsid w:val="002D113A"/>
    <w:rsid w:val="00565E50"/>
    <w:rsid w:val="00AA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4EC98D385F4B61AFF1693727C4C300">
    <w:name w:val="934EC98D385F4B61AFF1693727C4C300"/>
  </w:style>
  <w:style w:type="paragraph" w:customStyle="1" w:styleId="955487BD56B742F6B223D445F9B51F64">
    <w:name w:val="955487BD56B742F6B223D445F9B51F64"/>
  </w:style>
  <w:style w:type="paragraph" w:customStyle="1" w:styleId="CFBEACF27139417A9761B4D79816C552">
    <w:name w:val="CFBEACF27139417A9761B4D79816C552"/>
  </w:style>
  <w:style w:type="paragraph" w:customStyle="1" w:styleId="A9BE60B29DA3441CB7975224D9AEEE66">
    <w:name w:val="A9BE60B29DA3441CB7975224D9AEEE66"/>
  </w:style>
  <w:style w:type="paragraph" w:customStyle="1" w:styleId="06B29C161BC74696B05423F253E79B09">
    <w:name w:val="06B29C161BC74696B05423F253E79B09"/>
  </w:style>
  <w:style w:type="paragraph" w:customStyle="1" w:styleId="7541D38EE25A44408D69888CF9947FDE">
    <w:name w:val="7541D38EE25A44408D69888CF9947FDE"/>
    <w:rsid w:val="00254D2E"/>
  </w:style>
  <w:style w:type="paragraph" w:customStyle="1" w:styleId="A8817846A0784AAAA98F1A788115565D">
    <w:name w:val="A8817846A0784AAAA98F1A788115565D"/>
    <w:rsid w:val="00254D2E"/>
  </w:style>
  <w:style w:type="paragraph" w:customStyle="1" w:styleId="D3510D5883624C76A808724A43979B59">
    <w:name w:val="D3510D5883624C76A808724A43979B59"/>
    <w:rsid w:val="00254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EC544F9D-F719-4E80-B968-7F62F4E9BB41}">
  <ds:schemaRefs>
    <ds:schemaRef ds:uri="http://schemas.openxmlformats.org/officeDocument/2006/bibliography"/>
  </ds:schemaRefs>
</ds:datastoreItem>
</file>

<file path=customXml/itemProps2.xml><?xml version="1.0" encoding="utf-8"?>
<ds:datastoreItem xmlns:ds="http://schemas.openxmlformats.org/officeDocument/2006/customXml" ds:itemID="{D779C6FD-8F8A-49FE-9AE1-5F863EDD3C63}"/>
</file>

<file path=customXml/itemProps3.xml><?xml version="1.0" encoding="utf-8"?>
<ds:datastoreItem xmlns:ds="http://schemas.openxmlformats.org/officeDocument/2006/customXml" ds:itemID="{289AB1AF-BDFD-40CD-937D-DBB3F9F6F96D}"/>
</file>

<file path=customXml/itemProps4.xml><?xml version="1.0" encoding="utf-8"?>
<ds:datastoreItem xmlns:ds="http://schemas.openxmlformats.org/officeDocument/2006/customXml" ds:itemID="{1B6C81A0-7993-49AD-8F47-1B93056D48FD}"/>
</file>

<file path=docProps/app.xml><?xml version="1.0" encoding="utf-8"?>
<Properties xmlns="http://schemas.openxmlformats.org/officeDocument/2006/extended-properties" xmlns:vt="http://schemas.openxmlformats.org/officeDocument/2006/docPropsVTypes">
  <Template>OAR437.dotx</Template>
  <TotalTime>143</TotalTime>
  <Pages>17</Pages>
  <Words>3682</Words>
  <Characters>21250</Characters>
  <Application>Microsoft Office Word</Application>
  <DocSecurity>0</DocSecurity>
  <Lines>433</Lines>
  <Paragraphs>220</Paragraphs>
  <ScaleCrop>false</ScaleCrop>
  <HeadingPairs>
    <vt:vector size="2" baseType="variant">
      <vt:variant>
        <vt:lpstr>Title</vt:lpstr>
      </vt:variant>
      <vt:variant>
        <vt:i4>1</vt:i4>
      </vt:variant>
    </vt:vector>
  </HeadingPairs>
  <TitlesOfParts>
    <vt:vector size="1" baseType="lpstr">
      <vt:lpstr>Protection from Wildfire Smoke</vt:lpstr>
    </vt:vector>
  </TitlesOfParts>
  <Company>Oregon Occupational Safety and Health Division</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from Wildfire Smoke</dc:title>
  <dc:subject>Division 2</dc:subject>
  <dc:creator>Tawnya Swanson</dc:creator>
  <cp:keywords>Z</cp:keywords>
  <dc:description>4-2022</dc:description>
  <cp:lastModifiedBy>Tawnya Swanson</cp:lastModifiedBy>
  <cp:revision>6</cp:revision>
  <cp:lastPrinted>2022-07-27T20:58:00Z</cp:lastPrinted>
  <dcterms:created xsi:type="dcterms:W3CDTF">2022-07-27T20:58:00Z</dcterms:created>
  <dcterms:modified xsi:type="dcterms:W3CDTF">2024-06-17T20:27:00Z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2024-06-17T15:37:11Z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7829c2a9-e079-4835-8fd3-5092d1b492ed</vt:lpwstr>
  </property>
  <property fmtid="{D5CDD505-2E9C-101B-9397-08002B2CF9AE}" pid="8" name="MSIP_Label_09b73270-2993-4076-be47-9c78f42a1e84_ContentBits">
    <vt:lpwstr>0</vt:lpwstr>
  </property>
  <property fmtid="{D5CDD505-2E9C-101B-9397-08002B2CF9AE}" pid="9" name="Base Target">
    <vt:lpwstr>_blank</vt:lpwstr>
  </property>
  <property fmtid="{D5CDD505-2E9C-101B-9397-08002B2CF9AE}" pid="10" name="Inactive">
    <vt:bool>false</vt:bool>
  </property>
  <property fmtid="{D5CDD505-2E9C-101B-9397-08002B2CF9AE}" pid="11" name="ContentTypeId">
    <vt:lpwstr>0x0101008D40E5C8F7FE1B46B4C78942B59C5566</vt:lpwstr>
  </property>
  <property fmtid="{D5CDD505-2E9C-101B-9397-08002B2CF9AE}" pid="12" name="WordVersion">
    <vt:lpwstr>, </vt:lpwstr>
  </property>
</Properties>
</file>