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bookmarkStart w:id="0" w:name="_GoBack"/>
            <w:bookmarkEnd w:id="0"/>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AA67B1" w:rsidP="0075057C">
                  <w:pPr>
                    <w:pStyle w:val="Heading2"/>
                  </w:pPr>
                  <w:sdt>
                    <w:sdtPr>
                      <w:alias w:val="Division"/>
                      <w:tag w:val=""/>
                      <w:id w:val="-1520928311"/>
                      <w:lock w:val="sdtLocked"/>
                      <w:placeholder>
                        <w:docPart w:val="E73DBEF2BC2E432B970F281E0F141A86"/>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AC6FF1">
                        <w:t>5</w:t>
                      </w:r>
                    </w:sdtContent>
                  </w:sdt>
                </w:p>
                <w:sdt>
                  <w:sdtPr>
                    <w:rPr>
                      <w:color w:val="auto"/>
                    </w:rPr>
                    <w:alias w:val="Division Title"/>
                    <w:tag w:val="Division Title"/>
                    <w:id w:val="1327177191"/>
                    <w:placeholder>
                      <w:docPart w:val="A95C02A2EE0B464B8B33536FD18583CE"/>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AC6FF1" w:rsidP="00CD7BE5">
                      <w:pPr>
                        <w:jc w:val="right"/>
                      </w:pPr>
                      <w:r w:rsidRPr="005246DB">
                        <w:rPr>
                          <w:color w:val="auto"/>
                        </w:rPr>
                        <w:t>Part 1915 – Occupational Safety and Health Standards For Shipyard Employment</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AA67B1" w:rsidP="00AC6FF1">
                  <w:pPr>
                    <w:pStyle w:val="Title"/>
                    <w:framePr w:vSpace="0" w:wrap="auto" w:xAlign="left" w:yAlign="inline"/>
                    <w:suppressOverlap w:val="0"/>
                    <w:rPr>
                      <w:rStyle w:val="Oregon"/>
                      <w:i w:val="0"/>
                    </w:rPr>
                  </w:pPr>
                  <w:sdt>
                    <w:sdtPr>
                      <w:rPr>
                        <w:rStyle w:val="Heading5Char"/>
                        <w:rFonts w:ascii="MS Reference Sans Serif" w:hAnsi="MS Reference Sans Serif"/>
                        <w:color w:val="auto"/>
                      </w:rPr>
                      <w:alias w:val="Title"/>
                      <w:tag w:val=""/>
                      <w:id w:val="-943765335"/>
                      <w:lock w:val="sdtLocked"/>
                      <w:placeholder>
                        <w:docPart w:val="E5E8A35E24B244A3A33515FD19D62827"/>
                      </w:placeholder>
                      <w:dataBinding w:prefixMappings="xmlns:ns0='http://purl.org/dc/elements/1.1/' xmlns:ns1='http://schemas.openxmlformats.org/package/2006/metadata/core-properties' " w:xpath="/ns1:coreProperties[1]/ns0:title[1]" w:storeItemID="{6C3C8BC8-F283-45AE-878A-BAB7291924A1}"/>
                      <w:text w:multiLine="1"/>
                    </w:sdtPr>
                    <w:sdtEndPr>
                      <w:rPr>
                        <w:rStyle w:val="Heading5Char"/>
                      </w:rPr>
                    </w:sdtEndPr>
                    <w:sdtContent>
                      <w:r w:rsidR="00AC6FF1" w:rsidRPr="00AC6FF1">
                        <w:rPr>
                          <w:rStyle w:val="Heading5Char"/>
                          <w:rFonts w:ascii="MS Reference Sans Serif" w:hAnsi="MS Reference Sans Serif"/>
                          <w:color w:val="auto"/>
                        </w:rPr>
                        <w:t>Maritime Activities</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AA67B1" w:rsidP="00AC6FF1">
                  <w:pPr>
                    <w:pStyle w:val="BigAccent"/>
                    <w:framePr w:wrap="auto" w:xAlign="left" w:yAlign="inline"/>
                    <w:suppressOverlap w:val="0"/>
                  </w:pPr>
                  <w:sdt>
                    <w:sdtPr>
                      <w:rPr>
                        <w:rStyle w:val="BigAccentChar"/>
                        <w:kern w:val="0"/>
                      </w:rPr>
                      <w:alias w:val="Subdivision"/>
                      <w:tag w:val=""/>
                      <w:id w:val="493841245"/>
                      <w:lock w:val="sdtLocked"/>
                      <w:placeholder>
                        <w:docPart w:val="E4BDB7EAB5284B57938D5F22DA7D4F5F"/>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AC6FF1">
                        <w:rPr>
                          <w:rStyle w:val="BigAccentChar"/>
                          <w:kern w:val="0"/>
                        </w:rPr>
                        <w:t>5</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AC6FF1">
                  <w:pPr>
                    <w:pStyle w:val="Heading3"/>
                    <w:rPr>
                      <w:b w:val="0"/>
                      <w:sz w:val="28"/>
                    </w:rPr>
                  </w:pPr>
                  <w:r w:rsidRPr="001C613E">
                    <w:rPr>
                      <w:b w:val="0"/>
                      <w:sz w:val="28"/>
                    </w:rPr>
                    <w:t xml:space="preserve">Administrative Order </w:t>
                  </w:r>
                  <w:bookmarkStart w:id="1" w:name="_Ref514320644"/>
                  <w:sdt>
                    <w:sdtPr>
                      <w:rPr>
                        <w:b w:val="0"/>
                        <w:sz w:val="28"/>
                      </w:rPr>
                      <w:alias w:val="AO Number"/>
                      <w:tag w:val=""/>
                      <w:id w:val="-1682584275"/>
                      <w:placeholder>
                        <w:docPart w:val="442BCEBAAA3642BDBEA97EC40DA1E6DF"/>
                      </w:placeholder>
                      <w:dataBinding w:prefixMappings="xmlns:ns0='http://purl.org/dc/elements/1.1/' xmlns:ns1='http://schemas.openxmlformats.org/package/2006/metadata/core-properties' " w:xpath="/ns1:coreProperties[1]/ns0:description[1]" w:storeItemID="{6C3C8BC8-F283-45AE-878A-BAB7291924A1}"/>
                      <w:text/>
                    </w:sdtPr>
                    <w:sdtEndPr/>
                    <w:sdtContent>
                      <w:r w:rsidR="00AC6FF1">
                        <w:rPr>
                          <w:b w:val="0"/>
                          <w:sz w:val="28"/>
                        </w:rPr>
                        <w:t>3</w:t>
                      </w:r>
                      <w:r w:rsidRPr="001C613E">
                        <w:rPr>
                          <w:b w:val="0"/>
                          <w:sz w:val="28"/>
                        </w:rPr>
                        <w:t>-201</w:t>
                      </w:r>
                      <w:r w:rsidR="00AC6FF1">
                        <w:rPr>
                          <w:b w:val="0"/>
                          <w:sz w:val="28"/>
                        </w:rPr>
                        <w:t>9</w:t>
                      </w:r>
                    </w:sdtContent>
                  </w:sdt>
                  <w:bookmarkEnd w:id="1"/>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AA67B1"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CB74A1">
          <w:headerReference w:type="default" r:id="rId11"/>
          <w:footerReference w:type="even" r:id="rId12"/>
          <w:footerReference w:type="default" r:id="rId13"/>
          <w:endnotePr>
            <w:numFmt w:val="decimal"/>
          </w:endnotePr>
          <w:pgSz w:w="12240" w:h="15840" w:code="1"/>
          <w:pgMar w:top="1440" w:right="864" w:bottom="1440" w:left="1440" w:header="720" w:footer="720" w:gutter="0"/>
          <w:pgNumType w:fmt="lowerRoman"/>
          <w:cols w:space="720"/>
          <w:titlePg/>
          <w:docGrid w:linePitch="360"/>
        </w:sectPr>
      </w:pPr>
    </w:p>
    <w:p w:rsidR="00AC6FF1" w:rsidRPr="009F5488" w:rsidRDefault="00AC6FF1" w:rsidP="00AC6FF1">
      <w:pPr>
        <w:pStyle w:val="Heading1"/>
        <w:rPr>
          <w:i/>
        </w:rPr>
      </w:pPr>
      <w:bookmarkStart w:id="2" w:name="_Toc23947459"/>
      <w:r w:rsidRPr="009F5488">
        <w:rPr>
          <w:i/>
        </w:rPr>
        <w:lastRenderedPageBreak/>
        <w:t>437-005-0001</w:t>
      </w:r>
      <w:r w:rsidRPr="009F5488">
        <w:rPr>
          <w:i/>
        </w:rPr>
        <w:tab/>
        <w:t>Adoption by Reference</w:t>
      </w:r>
      <w:bookmarkEnd w:id="2"/>
    </w:p>
    <w:p w:rsidR="00AC6FF1" w:rsidRPr="00E21373" w:rsidRDefault="00AC6FF1" w:rsidP="00AC6FF1">
      <w:pPr>
        <w:rPr>
          <w:i/>
        </w:rPr>
      </w:pPr>
      <w:r w:rsidRPr="00E21373">
        <w:rPr>
          <w:i/>
        </w:rPr>
        <w:t>In addition to, and not in lieu of, any other safety and health codes contained in OAR Chapter 437, the Department adopts by reference the following federal regulations printed as part of the Code of Federal Regulations, 29 CFR 1915, in the Federal Register:</w:t>
      </w:r>
    </w:p>
    <w:p w:rsidR="00AC6FF1" w:rsidRDefault="00AC6FF1" w:rsidP="00AC6FF1">
      <w:pPr>
        <w:pStyle w:val="List"/>
      </w:pPr>
      <w:r>
        <w:t>(1) Subdivision A</w:t>
      </w:r>
    </w:p>
    <w:p w:rsidR="00AC6FF1" w:rsidRDefault="00AC6FF1" w:rsidP="00AC6FF1">
      <w:pPr>
        <w:pStyle w:val="List2"/>
      </w:pPr>
      <w:r>
        <w:t>(a) 29 CFR 1915.1. Purpose and authority, published 4/20/82, Federal Register (FR) vol. 47, p. 16984.</w:t>
      </w:r>
    </w:p>
    <w:p w:rsidR="00AC6FF1" w:rsidRDefault="00AC6FF1" w:rsidP="00AC6FF1">
      <w:pPr>
        <w:pStyle w:val="List2"/>
      </w:pPr>
      <w:r>
        <w:t>(b) 29 CFR 1915.2. Scope and application, published 4/20/82, FR vol. 47, p. 16984.</w:t>
      </w:r>
    </w:p>
    <w:p w:rsidR="00AC6FF1" w:rsidRDefault="00AC6FF1" w:rsidP="00AC6FF1">
      <w:pPr>
        <w:pStyle w:val="List2"/>
      </w:pPr>
      <w:r>
        <w:t>(c) 29 CFR 1915.3. Responsibility, published 4/20/82, FR vol. 47, p. 16984.</w:t>
      </w:r>
    </w:p>
    <w:p w:rsidR="00AC6FF1" w:rsidRDefault="00AC6FF1" w:rsidP="00AC6FF1">
      <w:pPr>
        <w:pStyle w:val="List2"/>
      </w:pPr>
      <w:r>
        <w:t>(d) 29 CFR 1915.4. Definitions, published 7/3/02, FR vol. 67, no. 128, p. 44541.</w:t>
      </w:r>
    </w:p>
    <w:p w:rsidR="00AC6FF1" w:rsidRDefault="00AC6FF1" w:rsidP="00AC6FF1">
      <w:pPr>
        <w:pStyle w:val="List2"/>
      </w:pPr>
      <w:r>
        <w:t>(e) 29 CFR 1915.5. Incorporation by reference, published 5/</w:t>
      </w:r>
      <w:r w:rsidR="008F6E98">
        <w:t>1</w:t>
      </w:r>
      <w:r>
        <w:t>4/19, Federal Register vol. 84, no. 93, p. 21416.</w:t>
      </w:r>
    </w:p>
    <w:p w:rsidR="00AC6FF1" w:rsidRDefault="00AC6FF1" w:rsidP="00AC6FF1">
      <w:pPr>
        <w:pStyle w:val="List2"/>
      </w:pPr>
      <w:r>
        <w:t>(f) 29 CFR 1915.6. Commercial diving operations, published 4/20/82, FR vol. 47, p. 16984.</w:t>
      </w:r>
    </w:p>
    <w:p w:rsidR="00AC6FF1" w:rsidRDefault="00AC6FF1" w:rsidP="00AC6FF1">
      <w:pPr>
        <w:pStyle w:val="List2"/>
      </w:pPr>
      <w:r>
        <w:t>(g) 29 CFR 1915.7. Competent person, published 7/25/94, FR vol. 59, p. 37856.</w:t>
      </w:r>
    </w:p>
    <w:p w:rsidR="00AC6FF1" w:rsidRDefault="00AC6FF1" w:rsidP="00AC6FF1">
      <w:pPr>
        <w:pStyle w:val="List2"/>
      </w:pPr>
      <w:r>
        <w:t>(h) 29 CFR 1915.9. Compliance duties owed to each employee, published 12/12/08, FR vol. 73, no. 240, pp. 75568-75589.</w:t>
      </w:r>
    </w:p>
    <w:p w:rsidR="00AC6FF1" w:rsidRDefault="00AC6FF1" w:rsidP="00AC6FF1">
      <w:pPr>
        <w:pStyle w:val="List"/>
      </w:pPr>
      <w:r>
        <w:t>(2) Subdivision B</w:t>
      </w:r>
    </w:p>
    <w:p w:rsidR="00AC6FF1" w:rsidRDefault="00AC6FF1" w:rsidP="00AC6FF1">
      <w:pPr>
        <w:pStyle w:val="List2"/>
      </w:pPr>
      <w:r>
        <w:t>(a) 29 CFR 1915.11. Scope, application and definitions applicable to this Subpart, published 7/25/94, FR vol. 59, p. 37857.</w:t>
      </w:r>
    </w:p>
    <w:p w:rsidR="00AC6FF1" w:rsidRDefault="00AC6FF1" w:rsidP="00AC6FF1">
      <w:pPr>
        <w:pStyle w:val="List2"/>
      </w:pPr>
      <w:r>
        <w:t>(b) 29 CFR 1915.12. Precautions before entering confined and enclosed spaces and other dangerous atmospheres, published 3/16/95, FR vol. 60, no. 51, p. 14218.</w:t>
      </w:r>
    </w:p>
    <w:p w:rsidR="00AC6FF1" w:rsidRDefault="00AC6FF1" w:rsidP="00AC6FF1">
      <w:pPr>
        <w:pStyle w:val="List2"/>
      </w:pPr>
      <w:r>
        <w:t>(c) 29 CFR 1915.13. Cleaning and other cold work, published 7/25/94, FR vol. 59, p. 37859.</w:t>
      </w:r>
    </w:p>
    <w:p w:rsidR="00AC6FF1" w:rsidRDefault="00AC6FF1" w:rsidP="00AC6FF1">
      <w:pPr>
        <w:pStyle w:val="List2"/>
      </w:pPr>
      <w:r>
        <w:t>(d) 29 CFR 1915.14. Hot work, published 7/3/02, FR vol. 67, no. 128, p. 44541.</w:t>
      </w:r>
    </w:p>
    <w:p w:rsidR="00AC6FF1" w:rsidRDefault="00AC6FF1" w:rsidP="00AC6FF1">
      <w:pPr>
        <w:pStyle w:val="List2"/>
      </w:pPr>
      <w:r>
        <w:t>(e) 29 CFR 1915.15. Maintenance of safe conditions, published 6/22/12, FR vol. 77, no. 121, p. 37587.</w:t>
      </w:r>
    </w:p>
    <w:p w:rsidR="00AC6FF1" w:rsidRDefault="00AC6FF1" w:rsidP="00AC6FF1">
      <w:pPr>
        <w:pStyle w:val="List2"/>
      </w:pPr>
      <w:r>
        <w:lastRenderedPageBreak/>
        <w:t>(f) 29 CFR 1915.16. Warning signs and labels, published 7/25/94, FR vol. 59, p. 37861.</w:t>
      </w:r>
    </w:p>
    <w:p w:rsidR="00AC6FF1" w:rsidRDefault="00AC6FF1" w:rsidP="00AC6FF1">
      <w:pPr>
        <w:pStyle w:val="List"/>
      </w:pPr>
      <w:r>
        <w:t>Appendix A to Subpart B published 6/8/11, Federal Register, vol. 76, no. 110, p. 33590.</w:t>
      </w:r>
    </w:p>
    <w:p w:rsidR="00AC6FF1" w:rsidRDefault="00AC6FF1" w:rsidP="00AC6FF1">
      <w:pPr>
        <w:pStyle w:val="List"/>
      </w:pPr>
      <w:r>
        <w:t>Appendix B to Subpart B published 7/25/94, FR vol. 59, p. 37816.</w:t>
      </w:r>
    </w:p>
    <w:p w:rsidR="00AC6FF1" w:rsidRDefault="00AC6FF1" w:rsidP="00AC6FF1">
      <w:pPr>
        <w:pStyle w:val="List"/>
      </w:pPr>
      <w:r>
        <w:t>(3) Subdivision C</w:t>
      </w:r>
    </w:p>
    <w:p w:rsidR="00AC6FF1" w:rsidRDefault="00AC6FF1" w:rsidP="00AC6FF1">
      <w:pPr>
        <w:pStyle w:val="List2"/>
      </w:pPr>
      <w:r>
        <w:t>(a) 29 CFR 1915.31. Scope &amp; application of subdivision, published 4/20/82, FR vol. 47, p. 16984.</w:t>
      </w:r>
    </w:p>
    <w:p w:rsidR="00AC6FF1" w:rsidRDefault="00AC6FF1" w:rsidP="00AC6FF1">
      <w:pPr>
        <w:pStyle w:val="List2"/>
      </w:pPr>
      <w:r>
        <w:t>(b) 29 CFR 1915.32. Toxic cleaning solvents, published 5/24/96, FR vol. 61, no. 102, p. 26351.</w:t>
      </w:r>
    </w:p>
    <w:p w:rsidR="00AC6FF1" w:rsidRDefault="00AC6FF1" w:rsidP="00AC6FF1">
      <w:pPr>
        <w:pStyle w:val="List2"/>
      </w:pPr>
      <w:r>
        <w:t>(c) 29 CFR 1915.33. Chemical paint &amp; preservative remover, published 5/24/96, FR vol. 61, no. 102, p. 26351.</w:t>
      </w:r>
    </w:p>
    <w:p w:rsidR="00AC6FF1" w:rsidRDefault="00AC6FF1" w:rsidP="00AC6FF1">
      <w:pPr>
        <w:pStyle w:val="List2"/>
      </w:pPr>
      <w:r>
        <w:t>(d) 29 CFR 1915.34. Mechanical paint removers, published 5/24/96, FR vol. 61, no. 102, p. 26351.</w:t>
      </w:r>
    </w:p>
    <w:p w:rsidR="00AC6FF1" w:rsidRDefault="00AC6FF1" w:rsidP="00AC6FF1">
      <w:pPr>
        <w:pStyle w:val="List2"/>
      </w:pPr>
      <w:r>
        <w:t>(e) 29 CFR 1915.35. Painting, published 7/3/02, FR vol. 67, no. 128, p. 44541.</w:t>
      </w:r>
    </w:p>
    <w:p w:rsidR="00AC6FF1" w:rsidRDefault="00AC6FF1" w:rsidP="00AC6FF1">
      <w:pPr>
        <w:pStyle w:val="List2"/>
      </w:pPr>
      <w:r>
        <w:t>(f) 29 CFR 1915.36. Flammable liquids, published 4/20/82, FR vol. 47, p. 16984.</w:t>
      </w:r>
    </w:p>
    <w:p w:rsidR="00AC6FF1" w:rsidRDefault="00AC6FF1" w:rsidP="00AC6FF1">
      <w:pPr>
        <w:pStyle w:val="List"/>
      </w:pPr>
      <w:r>
        <w:t>(4) Subdivision D</w:t>
      </w:r>
    </w:p>
    <w:p w:rsidR="00AC6FF1" w:rsidRDefault="00AC6FF1" w:rsidP="00AC6FF1">
      <w:pPr>
        <w:pStyle w:val="List2"/>
      </w:pPr>
      <w:r>
        <w:t>(a) 29 CFR 1915.51. Ventilation &amp; protection in welding, cutting and heating, published 7/3/02, FR vol. 67, no. 128, p. 44541.</w:t>
      </w:r>
    </w:p>
    <w:p w:rsidR="00AC6FF1" w:rsidRDefault="00AC6FF1" w:rsidP="00AC6FF1">
      <w:pPr>
        <w:pStyle w:val="List2"/>
      </w:pPr>
      <w:r>
        <w:t>(b) 29 CFR 1915.52. Fire prevention. REMOVED 9/15/04, FR vol. 69, p. 55667.</w:t>
      </w:r>
    </w:p>
    <w:p w:rsidR="00AC6FF1" w:rsidRDefault="00AC6FF1" w:rsidP="00AC6FF1">
      <w:pPr>
        <w:pStyle w:val="List2"/>
      </w:pPr>
      <w:r>
        <w:t>(c) 29 CFR 1915.53. Welding, cutting and heating of hollow metal containers &amp; structure not covered by 1915.12, published 7/3/02, FR vol. 67, no. 128, p. 44541.</w:t>
      </w:r>
    </w:p>
    <w:p w:rsidR="00AC6FF1" w:rsidRDefault="00AC6FF1" w:rsidP="00AC6FF1">
      <w:pPr>
        <w:pStyle w:val="List2"/>
      </w:pPr>
      <w:r>
        <w:t>(d) 29 CFR 1915.55. Gas welding &amp; cutting, published 4/20/82, FR vol. 47, p. 16984.</w:t>
      </w:r>
    </w:p>
    <w:p w:rsidR="00AC6FF1" w:rsidRDefault="00AC6FF1" w:rsidP="00AC6FF1">
      <w:pPr>
        <w:pStyle w:val="List2"/>
      </w:pPr>
      <w:r>
        <w:t>(e) 29 CFR 1915.56. Arc welding and cutting, published 4/20/82, FR vol. 47, p. 16984.</w:t>
      </w:r>
    </w:p>
    <w:p w:rsidR="00AC6FF1" w:rsidRDefault="00AC6FF1" w:rsidP="00AC6FF1">
      <w:pPr>
        <w:pStyle w:val="List2"/>
      </w:pPr>
      <w:r>
        <w:t>(f) 29 CFR 1915.57. Uses of fissionable material in ship repairing and shipbuilding, published 4/20/82, FR vol. 47, p. 16984.</w:t>
      </w:r>
    </w:p>
    <w:p w:rsidR="00AC6FF1" w:rsidRDefault="00AC6FF1" w:rsidP="00AC6FF1">
      <w:pPr>
        <w:pStyle w:val="List"/>
      </w:pPr>
      <w:r>
        <w:t>(5) Subdivision E</w:t>
      </w:r>
    </w:p>
    <w:p w:rsidR="00AC6FF1" w:rsidRDefault="00AC6FF1" w:rsidP="00AC6FF1">
      <w:pPr>
        <w:pStyle w:val="List2"/>
      </w:pPr>
      <w:r>
        <w:t>(a) 29 CFR 1915.71. Scaffolds or staging, published 7/3/02, FR vol. 67, no. 128, p. 44541.</w:t>
      </w:r>
    </w:p>
    <w:p w:rsidR="00AC6FF1" w:rsidRDefault="00AC6FF1" w:rsidP="00AC6FF1">
      <w:pPr>
        <w:pStyle w:val="List2"/>
      </w:pPr>
      <w:r>
        <w:lastRenderedPageBreak/>
        <w:t>(b) 29 CFR 1915.72. Ladders, published 7/3/02, FR vol. 67, no. 128, p. 44541.</w:t>
      </w:r>
    </w:p>
    <w:p w:rsidR="00AC6FF1" w:rsidRDefault="00AC6FF1" w:rsidP="00AC6FF1">
      <w:pPr>
        <w:pStyle w:val="List2"/>
      </w:pPr>
      <w:r>
        <w:t>(c) 29 CFR 1915.73. Guarding of deck openings and edges, published 7/3/02, FR vol. 67, no. 128, p. 44541.</w:t>
      </w:r>
    </w:p>
    <w:p w:rsidR="00AC6FF1" w:rsidRDefault="00AC6FF1" w:rsidP="00AC6FF1">
      <w:pPr>
        <w:pStyle w:val="List2"/>
      </w:pPr>
      <w:r>
        <w:t>(d) 29 CFR 1915.74. Access to vessels, published 7/3/02, FR vol. 67, no. 128, p. 44541.</w:t>
      </w:r>
    </w:p>
    <w:p w:rsidR="00AC6FF1" w:rsidRDefault="00AC6FF1" w:rsidP="00AC6FF1">
      <w:pPr>
        <w:pStyle w:val="List2"/>
      </w:pPr>
      <w:r>
        <w:t>(e) 29 CFR 1915.75. Access to and guarding of dry docks and marine railways, published 7/3/02, FR vol. 67, no. 128, p. 44541.</w:t>
      </w:r>
    </w:p>
    <w:p w:rsidR="00AC6FF1" w:rsidRDefault="00AC6FF1" w:rsidP="00AC6FF1">
      <w:pPr>
        <w:pStyle w:val="List2"/>
      </w:pPr>
      <w:r>
        <w:t>(f) 29 CFR 1915.76. Access to cargo spaces and confined spaces, published 4/20/82, FR vol. 47, p. 16984.</w:t>
      </w:r>
    </w:p>
    <w:p w:rsidR="00AC6FF1" w:rsidRDefault="00AC6FF1" w:rsidP="00AC6FF1">
      <w:pPr>
        <w:pStyle w:val="List2"/>
      </w:pPr>
      <w:r>
        <w:t>(g) 29 CFR 1915.77. Working surfaces, published amended 7/3/02, FR vol. 67, no. 128, p. 44541.</w:t>
      </w:r>
    </w:p>
    <w:p w:rsidR="00AC6FF1" w:rsidRDefault="00AC6FF1" w:rsidP="00AC6FF1">
      <w:pPr>
        <w:pStyle w:val="List"/>
      </w:pPr>
      <w:r>
        <w:t>(6) Subdivision F</w:t>
      </w:r>
    </w:p>
    <w:p w:rsidR="00AC6FF1" w:rsidRDefault="00AC6FF1" w:rsidP="00AC6FF1">
      <w:pPr>
        <w:pStyle w:val="List2"/>
      </w:pPr>
      <w:r>
        <w:t>(a) 29 CFR 1915.80 Scope, application, definitions and effective dates, published 5/14/19, Federal Register vol. 84, no. 93, p. 21416.</w:t>
      </w:r>
    </w:p>
    <w:p w:rsidR="00AC6FF1" w:rsidRDefault="00AC6FF1" w:rsidP="00AC6FF1">
      <w:pPr>
        <w:pStyle w:val="List2"/>
      </w:pPr>
      <w:r>
        <w:t>(b) 29 CFR 1915.81 Housekeeping, published 5/2/11, Federal Register vol. 76, no. 84, p. 24576.</w:t>
      </w:r>
    </w:p>
    <w:p w:rsidR="00AC6FF1" w:rsidRDefault="00AC6FF1" w:rsidP="00AC6FF1">
      <w:pPr>
        <w:pStyle w:val="List2"/>
      </w:pPr>
      <w:r>
        <w:t>(c) 29 CFR 1915.82 Lighting, published 5/2/11, Federal Register vol. 76, no. 84, p. 24576.</w:t>
      </w:r>
    </w:p>
    <w:p w:rsidR="003A4A82" w:rsidRDefault="00AC6FF1" w:rsidP="00AC6FF1">
      <w:pPr>
        <w:pStyle w:val="List2"/>
        <w:sectPr w:rsidR="003A4A82" w:rsidSect="00877106">
          <w:headerReference w:type="even"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start="1"/>
          <w:cols w:space="720"/>
          <w:titlePg/>
          <w:docGrid w:linePitch="360"/>
        </w:sectPr>
      </w:pPr>
      <w:r>
        <w:t>(d) 29 CFR 1915.83 Utilities, published 5/2/11, Federal Register vol. 76, no. 84, p. 24576.</w:t>
      </w:r>
    </w:p>
    <w:p w:rsidR="003A4A82" w:rsidRDefault="00AC6FF1" w:rsidP="00AC6FF1">
      <w:pPr>
        <w:pStyle w:val="List2"/>
      </w:pPr>
      <w:r>
        <w:t>(e) 29 CFR 1915.84 Working alone, published 5/2/11, Federal Register vol. 76, no. 84, p. 24576.</w:t>
      </w:r>
    </w:p>
    <w:p w:rsidR="00AC6FF1" w:rsidRDefault="00AC6FF1" w:rsidP="00AC6FF1">
      <w:pPr>
        <w:pStyle w:val="List2"/>
      </w:pPr>
      <w:r>
        <w:t>(f) 29 CFR 1915.85 Vessel radar and communication systems, published 5/2/11, Federal Register vol. 76, no. 84, p. 24576.</w:t>
      </w:r>
    </w:p>
    <w:p w:rsidR="00AC6FF1" w:rsidRDefault="00AC6FF1" w:rsidP="00AC6FF1">
      <w:pPr>
        <w:pStyle w:val="List2"/>
      </w:pPr>
      <w:r>
        <w:t>(g) 29 CFR 1915.86 Lifeboats, published 5/2/11, Federal Register vol. 76, no. 84, p. 24576.</w:t>
      </w:r>
    </w:p>
    <w:p w:rsidR="00AC6FF1" w:rsidRDefault="00AC6FF1" w:rsidP="00AC6FF1">
      <w:pPr>
        <w:pStyle w:val="List2"/>
      </w:pPr>
      <w:r>
        <w:t>(h) 29 CFR 1915.87 Medical services and first aid, published 5/2/11, Federal Register vol. 76, no. 84, p. 24576.</w:t>
      </w:r>
    </w:p>
    <w:p w:rsidR="00AC6FF1" w:rsidRDefault="00AC6FF1" w:rsidP="00AC6FF1">
      <w:pPr>
        <w:pStyle w:val="List2"/>
      </w:pPr>
      <w:r>
        <w:t>(i) 29 CFR 1915.88 Sanitation, published 5/2/11, Federal Register vol. 76, no. 84, p. 24576.</w:t>
      </w:r>
    </w:p>
    <w:p w:rsidR="00AC6FF1" w:rsidRDefault="00AC6FF1" w:rsidP="00AC6FF1">
      <w:pPr>
        <w:pStyle w:val="List2"/>
      </w:pPr>
      <w:r>
        <w:t>(j) 29 CFR 1915.89 Control of hazardous energy (lockout/tagout), published 5/2/11, Federal Register vol. 76, no. 84, p. 24576.</w:t>
      </w:r>
    </w:p>
    <w:p w:rsidR="00AC6FF1" w:rsidRDefault="00AC6FF1" w:rsidP="00AC6FF1">
      <w:pPr>
        <w:pStyle w:val="List2"/>
      </w:pPr>
      <w:r>
        <w:lastRenderedPageBreak/>
        <w:t>(k) 29 CFR 1915.90 Safety color code for marking physical hazards, published 5/2/11, Federal Register vol. 76, no. 84, p. 24576.</w:t>
      </w:r>
    </w:p>
    <w:p w:rsidR="00AC6FF1" w:rsidRDefault="00AC6FF1" w:rsidP="00AC6FF1">
      <w:pPr>
        <w:pStyle w:val="List2"/>
      </w:pPr>
      <w:r>
        <w:t>(l) 29 CFR 1915.91. Accident prevention signs and tags, published 5/2/11, Federal Register vol. 76, no. 84, p. 24576.</w:t>
      </w:r>
    </w:p>
    <w:p w:rsidR="00AC6FF1" w:rsidRDefault="00AC6FF1" w:rsidP="00AC6FF1">
      <w:pPr>
        <w:pStyle w:val="List2"/>
      </w:pPr>
      <w:r>
        <w:t>(m) 29 CFR 1915.92. Retention of DOT markings, placards, and labels, published 5/2/11, Federal Register vol. 76, no. 84, p. 24576.</w:t>
      </w:r>
    </w:p>
    <w:p w:rsidR="00AC6FF1" w:rsidRDefault="00AC6FF1" w:rsidP="00AC6FF1">
      <w:pPr>
        <w:pStyle w:val="List2"/>
      </w:pPr>
      <w:r>
        <w:t>(n) 29 CFR 1915.93. Motor vehicle safety equipment, operation, and maintenance, published 5/2/11, Federal Register vol. 76, no. 84, p. 24576.</w:t>
      </w:r>
    </w:p>
    <w:p w:rsidR="00AC6FF1" w:rsidRDefault="00AC6FF1" w:rsidP="00AC6FF1">
      <w:pPr>
        <w:pStyle w:val="List2"/>
      </w:pPr>
      <w:r>
        <w:t>(o) 29 CFR 1915.94. Servicing of multi-piece and single-piece rim wheels, published 5/2/11, Federal Register vol. 76, no. 84, p. 24576.</w:t>
      </w:r>
    </w:p>
    <w:p w:rsidR="00AC6FF1" w:rsidRDefault="00AC6FF1" w:rsidP="00AC6FF1">
      <w:pPr>
        <w:pStyle w:val="List"/>
      </w:pPr>
      <w:r>
        <w:t>(7) Subdivision G</w:t>
      </w:r>
    </w:p>
    <w:p w:rsidR="00AC6FF1" w:rsidRDefault="00AC6FF1" w:rsidP="00AC6FF1">
      <w:pPr>
        <w:pStyle w:val="List2"/>
      </w:pPr>
      <w:r>
        <w:t>(a) 29 CFR 1915.111. Inspection, published 4/20/82, FR vol. 47, p. 16984.</w:t>
      </w:r>
    </w:p>
    <w:p w:rsidR="00AC6FF1" w:rsidRDefault="00AC6FF1" w:rsidP="00AC6FF1">
      <w:pPr>
        <w:pStyle w:val="List2"/>
      </w:pPr>
      <w:r>
        <w:t>(b) 29 CFR 1915.112. Ropes, chains and slings, published 6/8/11, Federal Register, vol. 76, no. 110, p. 33590.</w:t>
      </w:r>
    </w:p>
    <w:p w:rsidR="00AC6FF1" w:rsidRDefault="00AC6FF1" w:rsidP="00AC6FF1">
      <w:pPr>
        <w:pStyle w:val="List2"/>
      </w:pPr>
      <w:r>
        <w:t>(c) 29 CFR 1915.113. Shackles and hooks, published 6/8/11, Federal Register, vol. 76, no. 110, p. 33590.</w:t>
      </w:r>
    </w:p>
    <w:p w:rsidR="00AC6FF1" w:rsidRDefault="00AC6FF1" w:rsidP="00AC6FF1">
      <w:pPr>
        <w:pStyle w:val="List2"/>
      </w:pPr>
      <w:r>
        <w:t>(d) 29 CFR 1915.114. Chain falls and pull lifts, published 4/20/82, FR vol. 47, p. 16984.</w:t>
      </w:r>
    </w:p>
    <w:p w:rsidR="00AC6FF1" w:rsidRDefault="00AC6FF1" w:rsidP="00AC6FF1">
      <w:pPr>
        <w:pStyle w:val="List2"/>
      </w:pPr>
      <w:r>
        <w:t>(e) 29 CFR 1915.115. Hoisting and hauling equipment, published 7/3/02, FR vol. 67, no. 128, p. 44541.</w:t>
      </w:r>
    </w:p>
    <w:p w:rsidR="00AC6FF1" w:rsidRDefault="00AC6FF1" w:rsidP="00AC6FF1">
      <w:pPr>
        <w:pStyle w:val="List2"/>
      </w:pPr>
      <w:r>
        <w:t>(f) 29 CFR 1915.116. Use of gear, published 7/3/02, FR vol. 67, no. 128, p. 44541.</w:t>
      </w:r>
    </w:p>
    <w:p w:rsidR="00AC6FF1" w:rsidRDefault="00AC6FF1" w:rsidP="00AC6FF1">
      <w:pPr>
        <w:pStyle w:val="List2"/>
      </w:pPr>
      <w:r>
        <w:t>(g) 29 CFR 1915.117. Qualifications of operators, published 4/20/82, FR vol. 47, p. 16984.</w:t>
      </w:r>
    </w:p>
    <w:p w:rsidR="00AC6FF1" w:rsidRDefault="00AC6FF1" w:rsidP="00AC6FF1">
      <w:pPr>
        <w:pStyle w:val="List2"/>
      </w:pPr>
      <w:r>
        <w:t>(h) 29 CFR 1915.118. Tables, published 7/3/02, FR vol. 67, no. 128, p. 44541.</w:t>
      </w:r>
    </w:p>
    <w:p w:rsidR="00AC6FF1" w:rsidRDefault="00AC6FF1" w:rsidP="00AC6FF1">
      <w:pPr>
        <w:pStyle w:val="List"/>
      </w:pPr>
      <w:r>
        <w:t>(8) Subdivision H</w:t>
      </w:r>
    </w:p>
    <w:p w:rsidR="00AC6FF1" w:rsidRDefault="00AC6FF1" w:rsidP="00AC6FF1">
      <w:pPr>
        <w:pStyle w:val="List2"/>
      </w:pPr>
      <w:r>
        <w:t>(a) 29 CFR 1915.131. General precautions, published 7/3/02, FR vol. 67, no. 128, p. 44541.</w:t>
      </w:r>
    </w:p>
    <w:p w:rsidR="00AC6FF1" w:rsidRDefault="00AC6FF1" w:rsidP="00AC6FF1">
      <w:pPr>
        <w:pStyle w:val="List2"/>
      </w:pPr>
      <w:r>
        <w:t>(b) 29 CFR 1915.132. Portable electric tools, published 4/20/82, FR vol. 47, p. 16984.</w:t>
      </w:r>
    </w:p>
    <w:p w:rsidR="00AC6FF1" w:rsidRDefault="00AC6FF1" w:rsidP="00AC6FF1">
      <w:pPr>
        <w:pStyle w:val="List2"/>
      </w:pPr>
      <w:r>
        <w:t>(c) 29 CFR 1915.133. Hand tools, published 4/20/82, FR vol. 47, p. 16984.</w:t>
      </w:r>
    </w:p>
    <w:p w:rsidR="00AC6FF1" w:rsidRDefault="00AC6FF1" w:rsidP="00AC6FF1">
      <w:pPr>
        <w:pStyle w:val="List2"/>
      </w:pPr>
      <w:r>
        <w:lastRenderedPageBreak/>
        <w:t>(d) 29 CFR 1915.134. Abrasive wheels, published 7/3/02, FR vol. 67, no. 128, p. 44541.</w:t>
      </w:r>
    </w:p>
    <w:p w:rsidR="00AC6FF1" w:rsidRDefault="00AC6FF1" w:rsidP="00AC6FF1">
      <w:pPr>
        <w:pStyle w:val="List2"/>
      </w:pPr>
      <w:r>
        <w:t>(e) 29 CFR 1915.135. Powder actuated fastening tools, published 5/24/96, FR vol. 61, no. 102, p. 26351.</w:t>
      </w:r>
    </w:p>
    <w:p w:rsidR="00AC6FF1" w:rsidRDefault="00AC6FF1" w:rsidP="00AC6FF1">
      <w:pPr>
        <w:pStyle w:val="List2"/>
      </w:pPr>
      <w:r>
        <w:t>(f) 29 CFR 1915.136. Internal combustion engines other than ship's equipment, published 4/20/82, FR vol. 47, p. 16984.</w:t>
      </w:r>
    </w:p>
    <w:p w:rsidR="00AC6FF1" w:rsidRDefault="00AC6FF1" w:rsidP="00AC6FF1">
      <w:pPr>
        <w:pStyle w:val="List"/>
      </w:pPr>
      <w:r>
        <w:t>(9) Subdivision I</w:t>
      </w:r>
    </w:p>
    <w:p w:rsidR="00AC6FF1" w:rsidRDefault="00AC6FF1" w:rsidP="00AC6FF1">
      <w:pPr>
        <w:pStyle w:val="List2"/>
      </w:pPr>
      <w:r>
        <w:t>(a) 29 CFR 1915.151. Scope, application and definitions, published 5/24/96, FR vol. 61, no. 102, p. 26352.</w:t>
      </w:r>
    </w:p>
    <w:p w:rsidR="00AC6FF1" w:rsidRDefault="00AC6FF1" w:rsidP="00AC6FF1">
      <w:pPr>
        <w:pStyle w:val="List2"/>
      </w:pPr>
      <w:r>
        <w:t>(b) 29 CFR 1915.152. General requirements, published 6/8/11, Federal Register, vol. 76, no. 110, p. 33590.</w:t>
      </w:r>
    </w:p>
    <w:p w:rsidR="00AC6FF1" w:rsidRDefault="00AC6FF1" w:rsidP="00AC6FF1">
      <w:pPr>
        <w:pStyle w:val="List2"/>
      </w:pPr>
      <w:r>
        <w:t>(c) 29 CFR 1915.153. Eye and face protection, published 3/25/16, FR vol. 81, no. 58, p. 16085.</w:t>
      </w:r>
    </w:p>
    <w:p w:rsidR="00AC6FF1" w:rsidRDefault="00AC6FF1" w:rsidP="00AC6FF1">
      <w:pPr>
        <w:pStyle w:val="List2"/>
      </w:pPr>
      <w:r>
        <w:t>(d) 29 CFR 1915.154. Respiratory protection, published 5/24/96, FR vol. 61, no. 102, p. 26354.</w:t>
      </w:r>
    </w:p>
    <w:p w:rsidR="00AC6FF1" w:rsidRDefault="00AC6FF1" w:rsidP="00AC6FF1">
      <w:pPr>
        <w:pStyle w:val="List2"/>
      </w:pPr>
      <w:r>
        <w:t>(e) 29 CFR 1915.155. Head protection, published 6/22/12, FR vol. 77, no. 121, p. 37587.</w:t>
      </w:r>
    </w:p>
    <w:p w:rsidR="003A4A82" w:rsidRDefault="00AC6FF1" w:rsidP="00AC6FF1">
      <w:pPr>
        <w:pStyle w:val="List2"/>
      </w:pPr>
      <w:r>
        <w:t>(f) 29 CFR 1915.156. Foot protection, published 9/9/09, FR vol. 74, no. 173, pp. 46350-46361.</w:t>
      </w:r>
    </w:p>
    <w:p w:rsidR="003A4A82" w:rsidRDefault="00AC6FF1" w:rsidP="00AC6FF1">
      <w:pPr>
        <w:pStyle w:val="List2"/>
        <w:sectPr w:rsidR="003A4A82" w:rsidSect="003A4A82">
          <w:footerReference w:type="even" r:id="rId19"/>
          <w:footerReference w:type="default" r:id="rId20"/>
          <w:endnotePr>
            <w:numFmt w:val="decimal"/>
          </w:endnotePr>
          <w:type w:val="continuous"/>
          <w:pgSz w:w="12240" w:h="15840" w:code="1"/>
          <w:pgMar w:top="1440" w:right="864" w:bottom="1440" w:left="1440" w:header="720" w:footer="720" w:gutter="0"/>
          <w:cols w:space="720"/>
          <w:docGrid w:linePitch="360"/>
        </w:sectPr>
      </w:pPr>
      <w:r>
        <w:t>(g) 29 CFR 1915.157. Hand and body protection, published 5/24/96, FR vol. 61, no. 102, p. 26354.</w:t>
      </w:r>
    </w:p>
    <w:p w:rsidR="00AC6FF1" w:rsidRDefault="00AC6FF1" w:rsidP="00AC6FF1">
      <w:pPr>
        <w:pStyle w:val="List2"/>
      </w:pPr>
      <w:r>
        <w:t>(h) 29 CFR 1915.158. Lifesaving equipment, published 7/3/02, FR vol. 67, no. 128, p. 44541.</w:t>
      </w:r>
    </w:p>
    <w:p w:rsidR="00AC6FF1" w:rsidRDefault="00AC6FF1" w:rsidP="00AC6FF1">
      <w:pPr>
        <w:pStyle w:val="List2"/>
      </w:pPr>
      <w:r>
        <w:t>(i) 29 CFR 1915.159. Personal fall arrest systems (PFAS), published 7/3/02, FR vol. 67, no. 128, p. 44541.</w:t>
      </w:r>
    </w:p>
    <w:p w:rsidR="00AC6FF1" w:rsidRDefault="00AC6FF1" w:rsidP="00AC6FF1">
      <w:pPr>
        <w:pStyle w:val="List2"/>
      </w:pPr>
      <w:r>
        <w:t>(j) 29 CFR 1915.160. Positioning device systems, published 7/3/02, FR vol. 67, no. 128, p. 44541.</w:t>
      </w:r>
    </w:p>
    <w:p w:rsidR="00AC6FF1" w:rsidRDefault="00AC6FF1" w:rsidP="00AC6FF1">
      <w:pPr>
        <w:pStyle w:val="List"/>
      </w:pPr>
      <w:r>
        <w:t>Appendix A to Subpart I, published 7/3/02, FR vol. 67, no. 128, p. 44541.</w:t>
      </w:r>
    </w:p>
    <w:p w:rsidR="00AC6FF1" w:rsidRDefault="00AC6FF1" w:rsidP="00AC6FF1">
      <w:pPr>
        <w:pStyle w:val="List"/>
      </w:pPr>
      <w:r>
        <w:t>Appendix B to Subpart I, published 7/3/02, FR vol. 67, no. 128, p. 44541.</w:t>
      </w:r>
    </w:p>
    <w:p w:rsidR="00AC6FF1" w:rsidRDefault="00AC6FF1" w:rsidP="00AC6FF1">
      <w:pPr>
        <w:pStyle w:val="List"/>
      </w:pPr>
      <w:r>
        <w:t>(10) Subdivision J</w:t>
      </w:r>
    </w:p>
    <w:p w:rsidR="00AC6FF1" w:rsidRDefault="00AC6FF1" w:rsidP="00AC6FF1">
      <w:pPr>
        <w:pStyle w:val="List2"/>
      </w:pPr>
      <w:r>
        <w:t>(a) 29 CFR 1915.161. Scope and application of subdivision, published 4/20/82, FR vol. 47, p. 16984.</w:t>
      </w:r>
    </w:p>
    <w:p w:rsidR="00AC6FF1" w:rsidRDefault="00AC6FF1" w:rsidP="00AC6FF1">
      <w:pPr>
        <w:pStyle w:val="List2"/>
      </w:pPr>
      <w:r>
        <w:lastRenderedPageBreak/>
        <w:t>(b) 29 CFR 1915.162. Ship's boilers, published 5/2/11, Federal Register vol. 76, no. 84, p. 24576.</w:t>
      </w:r>
    </w:p>
    <w:p w:rsidR="00AC6FF1" w:rsidRDefault="00AC6FF1" w:rsidP="00AC6FF1">
      <w:pPr>
        <w:pStyle w:val="List2"/>
      </w:pPr>
      <w:r>
        <w:t>(c) 29 CFR 1915.163. Ship's piping systems, published 5/2/11, Federal Register vol. 76, no. 84, p. 24576.</w:t>
      </w:r>
    </w:p>
    <w:p w:rsidR="00AC6FF1" w:rsidRDefault="00AC6FF1" w:rsidP="00AC6FF1">
      <w:pPr>
        <w:pStyle w:val="List2"/>
      </w:pPr>
      <w:r>
        <w:t>(d) 29 CFR 1915.164. Ship's propulsion machinery, published 5/2/11, Federal Register vol. 76, no. 84, p. 24576.</w:t>
      </w:r>
    </w:p>
    <w:p w:rsidR="00AC6FF1" w:rsidRDefault="00AC6FF1" w:rsidP="00AC6FF1">
      <w:pPr>
        <w:pStyle w:val="List2"/>
      </w:pPr>
      <w:r>
        <w:t>(e) 29 CFR 1915.165. Ship's decking machinery, published 7/3/02, FR vol. 67, no. 128, p. 44541.</w:t>
      </w:r>
    </w:p>
    <w:p w:rsidR="00AC6FF1" w:rsidRDefault="00AC6FF1" w:rsidP="00AC6FF1">
      <w:pPr>
        <w:pStyle w:val="List"/>
      </w:pPr>
      <w:r>
        <w:t>(11) Subdivision K</w:t>
      </w:r>
    </w:p>
    <w:p w:rsidR="00AC6FF1" w:rsidRDefault="00AC6FF1" w:rsidP="00AC6FF1">
      <w:pPr>
        <w:pStyle w:val="List2"/>
      </w:pPr>
      <w:r>
        <w:t>(a) 29 CFR 1915.171. Scope and application of subdivision, published 4/20/82, FR vol. 47, p. 16984.</w:t>
      </w:r>
    </w:p>
    <w:p w:rsidR="00AC6FF1" w:rsidRDefault="00AC6FF1" w:rsidP="00AC6FF1">
      <w:pPr>
        <w:pStyle w:val="List2"/>
      </w:pPr>
      <w:r>
        <w:t>(b) 29 CFR 1915.172. Portable air receiver and other unfired pressure vessels, published 7/3/02, FR vol. 67, no. 128, p. 44541.</w:t>
      </w:r>
    </w:p>
    <w:p w:rsidR="00AC6FF1" w:rsidRDefault="00AC6FF1" w:rsidP="00AC6FF1">
      <w:pPr>
        <w:pStyle w:val="List2"/>
      </w:pPr>
      <w:r>
        <w:t>(c) 29 CFR 1915.173. Drums and containers, published 4/20/82, FR vol. 47, p. 16984.</w:t>
      </w:r>
    </w:p>
    <w:p w:rsidR="00AC6FF1" w:rsidRDefault="00AC6FF1" w:rsidP="00AC6FF1">
      <w:pPr>
        <w:pStyle w:val="List"/>
      </w:pPr>
      <w:r>
        <w:t>(12) Subdivision L</w:t>
      </w:r>
    </w:p>
    <w:p w:rsidR="00AC6FF1" w:rsidRDefault="00AC6FF1" w:rsidP="00AC6FF1">
      <w:pPr>
        <w:pStyle w:val="List2"/>
      </w:pPr>
      <w:r>
        <w:t>(a) 29 CFR 1915.181. Electrical circuits and distribution boards, published 5/2/11, Federal Register vol. 76, no. 84, p. 24576.</w:t>
      </w:r>
    </w:p>
    <w:p w:rsidR="00AC6FF1" w:rsidRDefault="00AC6FF1" w:rsidP="00AC6FF1">
      <w:pPr>
        <w:pStyle w:val="List"/>
      </w:pPr>
      <w:r>
        <w:t>(13) Subdivisions M</w:t>
      </w:r>
      <w:r w:rsidR="008F6E98">
        <w:t>-</w:t>
      </w:r>
      <w:r>
        <w:t>O (Reserved)</w:t>
      </w:r>
    </w:p>
    <w:p w:rsidR="00AC6FF1" w:rsidRDefault="00AC6FF1" w:rsidP="00AC6FF1">
      <w:pPr>
        <w:pStyle w:val="List"/>
      </w:pPr>
      <w:r>
        <w:t>(14) Subdivision P</w:t>
      </w:r>
    </w:p>
    <w:p w:rsidR="00AC6FF1" w:rsidRDefault="00AC6FF1" w:rsidP="00AC6FF1">
      <w:pPr>
        <w:pStyle w:val="List2"/>
      </w:pPr>
      <w:r>
        <w:t>(a) 29 CFR 1915.501. General provisions, published 9/15/04, FR vol. 69, p. 55667.</w:t>
      </w:r>
    </w:p>
    <w:p w:rsidR="00AC6FF1" w:rsidRDefault="00AC6FF1" w:rsidP="00AC6FF1">
      <w:pPr>
        <w:pStyle w:val="List2"/>
      </w:pPr>
      <w:r>
        <w:t>(b) 29 CFR 1915.502. Fire safety plan, published 9/15/04, FR vol. 69, p. 55667.</w:t>
      </w:r>
    </w:p>
    <w:p w:rsidR="00AC6FF1" w:rsidRDefault="00AC6FF1" w:rsidP="00AC6FF1">
      <w:pPr>
        <w:pStyle w:val="List2"/>
      </w:pPr>
      <w:r>
        <w:t>(c) 29 CFR 1915.503. Precautions for hot work, published 9/15/04, FR vol. 69, p. 55667.</w:t>
      </w:r>
    </w:p>
    <w:p w:rsidR="00AC6FF1" w:rsidRDefault="00AC6FF1" w:rsidP="00AC6FF1">
      <w:pPr>
        <w:pStyle w:val="List2"/>
      </w:pPr>
      <w:r>
        <w:t>(d) 29 CFR 1915.504. Fire watches, published 9/15/04, FR vol. 69, p. 55667.</w:t>
      </w:r>
    </w:p>
    <w:p w:rsidR="00AC6FF1" w:rsidRDefault="00AC6FF1" w:rsidP="00AC6FF1">
      <w:pPr>
        <w:pStyle w:val="List2"/>
      </w:pPr>
      <w:r>
        <w:t>(e) 29 CFR 1915.505. Fire response, published 10/17/06, FR vol. 71, no. 200, p. 60843.</w:t>
      </w:r>
    </w:p>
    <w:p w:rsidR="00AC6FF1" w:rsidRDefault="00AC6FF1" w:rsidP="00AC6FF1">
      <w:pPr>
        <w:pStyle w:val="List2"/>
      </w:pPr>
      <w:r>
        <w:t>(f) 29 CFR 1915.506. Hazards of fixed extinguishing systems on board vessels and vessel sections, published 9/15/04, FR vol. 69, p. 55667.</w:t>
      </w:r>
    </w:p>
    <w:p w:rsidR="00AC6FF1" w:rsidRDefault="00AC6FF1" w:rsidP="00AC6FF1">
      <w:pPr>
        <w:pStyle w:val="List2"/>
      </w:pPr>
      <w:r>
        <w:t>(g) 29 CFR 1915.507. Land-side fire protection systems, published 10/17/06, FR vol. 71, no. 200, p. 60843.</w:t>
      </w:r>
    </w:p>
    <w:p w:rsidR="00AC6FF1" w:rsidRDefault="00AC6FF1" w:rsidP="00AC6FF1">
      <w:pPr>
        <w:pStyle w:val="List2"/>
      </w:pPr>
      <w:r>
        <w:lastRenderedPageBreak/>
        <w:t>(h) 29 CFR 1915.508. Training, published 9/15/04, FR vol. 69, p. 55667.</w:t>
      </w:r>
    </w:p>
    <w:p w:rsidR="00AC6FF1" w:rsidRDefault="00AC6FF1" w:rsidP="00AC6FF1">
      <w:pPr>
        <w:pStyle w:val="List2"/>
      </w:pPr>
      <w:r>
        <w:t>(i) 29 CFR 1915.509. Definitions applicable to this subpart, published 9/15/04, FR vol. 69, p. 55667.</w:t>
      </w:r>
    </w:p>
    <w:p w:rsidR="00AC6FF1" w:rsidRDefault="00AC6FF1" w:rsidP="00AC6FF1">
      <w:pPr>
        <w:pStyle w:val="List"/>
      </w:pPr>
      <w:r>
        <w:t>Appendix A to Subpart P, published 9/15/04, FR vol. 69, p. 55667.</w:t>
      </w:r>
    </w:p>
    <w:p w:rsidR="00AC6FF1" w:rsidRDefault="00AC6FF1" w:rsidP="00AC6FF1">
      <w:pPr>
        <w:pStyle w:val="List"/>
      </w:pPr>
      <w:r>
        <w:t>(15) Subdivision Q-Y (Reserved)</w:t>
      </w:r>
    </w:p>
    <w:p w:rsidR="00AC6FF1" w:rsidRDefault="00AC6FF1" w:rsidP="00AC6FF1">
      <w:pPr>
        <w:pStyle w:val="List"/>
      </w:pPr>
      <w:r>
        <w:t>(16) Subdivision Z</w:t>
      </w:r>
    </w:p>
    <w:p w:rsidR="00AC6FF1" w:rsidRDefault="00AC6FF1" w:rsidP="00AC6FF1">
      <w:pPr>
        <w:pStyle w:val="List2"/>
      </w:pPr>
      <w:r>
        <w:t>(a) 29 CFR 1915.1000, Air Contaminants, published 1/9/17, FR vol. 82, no. 5, p. 2735.</w:t>
      </w:r>
    </w:p>
    <w:p w:rsidR="00AC6FF1" w:rsidRDefault="00AC6FF1" w:rsidP="00AC6FF1">
      <w:pPr>
        <w:pStyle w:val="List2"/>
      </w:pPr>
      <w:r>
        <w:t>(b) 29 CFR 1915.1001, Asbestos, published 5/</w:t>
      </w:r>
      <w:r w:rsidR="008F6E98">
        <w:t>1</w:t>
      </w:r>
      <w:r>
        <w:t>4/19, FR vol. 84, no. 93, p. 21416.</w:t>
      </w:r>
    </w:p>
    <w:p w:rsidR="00AC6FF1" w:rsidRDefault="00AC6FF1" w:rsidP="00AC6FF1">
      <w:pPr>
        <w:pStyle w:val="List"/>
      </w:pPr>
      <w:r>
        <w:t>Appendix A to 1915.1001, published 6/29/95, FR vol. 60, p. 33972.</w:t>
      </w:r>
    </w:p>
    <w:p w:rsidR="00AC6FF1" w:rsidRDefault="00AC6FF1" w:rsidP="00AC6FF1">
      <w:pPr>
        <w:pStyle w:val="List"/>
      </w:pPr>
      <w:r>
        <w:t>Appendix B to 1915.1001, published 6/29/95, FR vol. 60, p. 33972.</w:t>
      </w:r>
    </w:p>
    <w:p w:rsidR="00AC6FF1" w:rsidRDefault="00AC6FF1" w:rsidP="00AC6FF1">
      <w:pPr>
        <w:pStyle w:val="List"/>
      </w:pPr>
      <w:r>
        <w:t>Appendix C to 1915.1001, published 6/8/11, Federal Register vol. 76, no. 110, p. 33590.</w:t>
      </w:r>
    </w:p>
    <w:p w:rsidR="003A4A82" w:rsidRDefault="00AC6FF1" w:rsidP="00AC6FF1">
      <w:pPr>
        <w:pStyle w:val="List"/>
        <w:sectPr w:rsidR="003A4A82" w:rsidSect="003A4A82">
          <w:footerReference w:type="even" r:id="rId21"/>
          <w:footerReference w:type="default" r:id="rId22"/>
          <w:endnotePr>
            <w:numFmt w:val="decimal"/>
          </w:endnotePr>
          <w:type w:val="continuous"/>
          <w:pgSz w:w="12240" w:h="15840" w:code="1"/>
          <w:pgMar w:top="1440" w:right="864" w:bottom="1440" w:left="1440" w:header="720" w:footer="720" w:gutter="0"/>
          <w:cols w:space="720"/>
          <w:docGrid w:linePitch="360"/>
        </w:sectPr>
      </w:pPr>
      <w:r>
        <w:t>Appendix D to 1915.1001, published 5/14/19, Federal Register vol. 84, no. 93, p. 21416.</w:t>
      </w:r>
    </w:p>
    <w:p w:rsidR="003A4A82" w:rsidRDefault="00AC6FF1" w:rsidP="00AC6FF1">
      <w:pPr>
        <w:pStyle w:val="List"/>
      </w:pPr>
      <w:r>
        <w:t>Appendix E to 1915.1001, published 5/14/19, Federal Register vol. 84, no. 93, p. 21416.</w:t>
      </w:r>
    </w:p>
    <w:p w:rsidR="00AC6FF1" w:rsidRDefault="00AC6FF1" w:rsidP="00AC6FF1">
      <w:pPr>
        <w:pStyle w:val="List"/>
      </w:pPr>
      <w:r>
        <w:t>Appendix F to 1915.1001, published 6/29/95, FR vol. 60, p. 33972.</w:t>
      </w:r>
    </w:p>
    <w:p w:rsidR="00AC6FF1" w:rsidRDefault="00AC6FF1" w:rsidP="00AC6FF1">
      <w:pPr>
        <w:pStyle w:val="List"/>
      </w:pPr>
      <w:r>
        <w:t>Appendix G to 1915.1001, published 8/10/94, FR vol. 59, p. 40964.</w:t>
      </w:r>
    </w:p>
    <w:p w:rsidR="00AC6FF1" w:rsidRDefault="00AC6FF1" w:rsidP="00AC6FF1">
      <w:pPr>
        <w:pStyle w:val="List"/>
      </w:pPr>
      <w:r>
        <w:t>Appendix H to 1915.1001, published 6/29/95, FR vol. 60, p. 33972.</w:t>
      </w:r>
    </w:p>
    <w:p w:rsidR="00AC6FF1" w:rsidRDefault="00AC6FF1" w:rsidP="00AC6FF1">
      <w:pPr>
        <w:pStyle w:val="List"/>
      </w:pPr>
      <w:r>
        <w:t>Appendix I to 1915.1001, published 5/14/19, Federal Register vol. 84,no. 93, p. 21416.</w:t>
      </w:r>
    </w:p>
    <w:p w:rsidR="00AC6FF1" w:rsidRDefault="00AC6FF1" w:rsidP="00AC6FF1">
      <w:pPr>
        <w:pStyle w:val="List"/>
      </w:pPr>
      <w:r>
        <w:t>Appendix J to 1915.1001, published 8/10/94, FR vol. 59, p. 40964.</w:t>
      </w:r>
    </w:p>
    <w:p w:rsidR="00AC6FF1" w:rsidRDefault="00AC6FF1" w:rsidP="00AC6FF1">
      <w:pPr>
        <w:pStyle w:val="List"/>
      </w:pPr>
      <w:r>
        <w:t>Appendix K to 1915.1001, published 6/29/95, FR vol. 60, p. 33972.</w:t>
      </w:r>
    </w:p>
    <w:p w:rsidR="00AC6FF1" w:rsidRDefault="00AC6FF1" w:rsidP="00AC6FF1">
      <w:pPr>
        <w:pStyle w:val="List"/>
      </w:pPr>
      <w:r>
        <w:t>Appendix L to 1915.1001, published 8/23/96, FR vol. 61, p. 43454.</w:t>
      </w:r>
    </w:p>
    <w:p w:rsidR="00AC6FF1" w:rsidRDefault="00AC6FF1" w:rsidP="00AC6FF1">
      <w:pPr>
        <w:pStyle w:val="List2"/>
      </w:pPr>
      <w:r>
        <w:t>(c) 29 CFR 1915.1002. Coal tar pitch volatiles; interpretation of term, published 6/20/96, FR vol. 61, p. 31427.</w:t>
      </w:r>
    </w:p>
    <w:p w:rsidR="00AC6FF1" w:rsidRDefault="00AC6FF1" w:rsidP="00AC6FF1">
      <w:pPr>
        <w:pStyle w:val="List2"/>
      </w:pPr>
      <w:r>
        <w:t>(d) 29 CFR 1915.1003. 13 Carcinogens (4 Nitrobiphenyl, etc.), published 6/20/96, FR vol. 61, p. 31427.</w:t>
      </w:r>
    </w:p>
    <w:p w:rsidR="00AC6FF1" w:rsidRDefault="00AC6FF1" w:rsidP="00AC6FF1">
      <w:pPr>
        <w:pStyle w:val="List2"/>
      </w:pPr>
      <w:r>
        <w:lastRenderedPageBreak/>
        <w:t>(e) 29 CFR 1915.1004. alpha Naphthylamine, published 6/20/96, FR vol. 61, p. 31427.</w:t>
      </w:r>
    </w:p>
    <w:p w:rsidR="00AC6FF1" w:rsidRDefault="00AC6FF1" w:rsidP="00AC6FF1">
      <w:pPr>
        <w:pStyle w:val="List2"/>
      </w:pPr>
      <w:r>
        <w:t>(f) 29 CFR 1915.1005. (Reserved)</w:t>
      </w:r>
    </w:p>
    <w:p w:rsidR="00AC6FF1" w:rsidRDefault="00AC6FF1" w:rsidP="00AC6FF1">
      <w:pPr>
        <w:pStyle w:val="List2"/>
      </w:pPr>
      <w:r>
        <w:t>(g) 29 CFR 1915.1006. Methyl chloromethyl ether, published 6/20/96, FR vol. 61, p. 31427.</w:t>
      </w:r>
    </w:p>
    <w:p w:rsidR="00AC6FF1" w:rsidRDefault="00AC6FF1" w:rsidP="00AC6FF1">
      <w:pPr>
        <w:pStyle w:val="List2"/>
      </w:pPr>
      <w:r>
        <w:t>(h) 29 CFR 1915.1007. 3,3'Dichlorobenzidiene (and its salts), published 6/20/96, FR vol. 61, p. 31427.</w:t>
      </w:r>
    </w:p>
    <w:p w:rsidR="00AC6FF1" w:rsidRDefault="00AC6FF1" w:rsidP="00AC6FF1">
      <w:pPr>
        <w:pStyle w:val="List2"/>
      </w:pPr>
      <w:r>
        <w:t>(i) 29 CFR 1915.1008. bis Chloromethyl ether, published 6/20/96, FR vol. 61, p. 31427.</w:t>
      </w:r>
    </w:p>
    <w:p w:rsidR="00AC6FF1" w:rsidRDefault="00AC6FF1" w:rsidP="00AC6FF1">
      <w:pPr>
        <w:pStyle w:val="List2"/>
      </w:pPr>
      <w:r>
        <w:t>(j) 29 CFR 1915.1009. beta Naphthylamine, published 6/20/96, FR vol. 61, p. 31427.</w:t>
      </w:r>
    </w:p>
    <w:p w:rsidR="00AC6FF1" w:rsidRDefault="00AC6FF1" w:rsidP="00AC6FF1">
      <w:pPr>
        <w:pStyle w:val="List2"/>
      </w:pPr>
      <w:r>
        <w:t>(k) 29 CFR 1915.1010. Benzidine, published 6/20/96, FR vol. 61, p. 31427.</w:t>
      </w:r>
    </w:p>
    <w:p w:rsidR="00AC6FF1" w:rsidRDefault="00AC6FF1" w:rsidP="00AC6FF1">
      <w:pPr>
        <w:pStyle w:val="List2"/>
      </w:pPr>
      <w:r>
        <w:t>(l) 29 CFR 1915.1011. 4 Aminodiphenyl, published 6/20/96, FR vol. 61, p. 31427.</w:t>
      </w:r>
    </w:p>
    <w:p w:rsidR="00AC6FF1" w:rsidRDefault="00AC6FF1" w:rsidP="00AC6FF1">
      <w:pPr>
        <w:pStyle w:val="List2"/>
      </w:pPr>
      <w:r>
        <w:t>(m) 29 CFR 1915.1012. Ethyleneimine, published 6/20/96, FR vol. 61, p. 31427.</w:t>
      </w:r>
    </w:p>
    <w:p w:rsidR="00AC6FF1" w:rsidRDefault="00AC6FF1" w:rsidP="00AC6FF1">
      <w:pPr>
        <w:pStyle w:val="List2"/>
      </w:pPr>
      <w:r>
        <w:t>(n) 29 CFR 1915.1013. beta Propiolactone, published 6/20/96, FR vol. 61, p. 31427.</w:t>
      </w:r>
    </w:p>
    <w:p w:rsidR="00AC6FF1" w:rsidRDefault="00AC6FF1" w:rsidP="00AC6FF1">
      <w:pPr>
        <w:pStyle w:val="List2"/>
      </w:pPr>
      <w:r>
        <w:t>(o) 29 CFR 1915.1014. 2 Acetylaminofluorene, published 6/20/96, FR vol. 61, p. 31427.</w:t>
      </w:r>
    </w:p>
    <w:p w:rsidR="00AC6FF1" w:rsidRDefault="00AC6FF1" w:rsidP="00AC6FF1">
      <w:pPr>
        <w:pStyle w:val="List2"/>
      </w:pPr>
      <w:r>
        <w:t>(p) 29 CFR 1915.1015. 4 Dimethylaminoazobenzene, published 6/20/96, FR vol. 61, p. 31427.</w:t>
      </w:r>
    </w:p>
    <w:p w:rsidR="00AC6FF1" w:rsidRDefault="00AC6FF1" w:rsidP="00AC6FF1">
      <w:pPr>
        <w:pStyle w:val="List2"/>
      </w:pPr>
      <w:r>
        <w:t>(q) 29 CFR 1915.1016. N Nitrosodimethylamine, published 6/20/96, FR vol. 61, p. 31427.</w:t>
      </w:r>
    </w:p>
    <w:p w:rsidR="00AC6FF1" w:rsidRDefault="00AC6FF1" w:rsidP="00AC6FF1">
      <w:pPr>
        <w:pStyle w:val="List2"/>
      </w:pPr>
      <w:r>
        <w:t>(r) 29 CFR 1915.1017. Vinyl chloride, published 6/20/96, FR vol. 61, p. 31427.</w:t>
      </w:r>
    </w:p>
    <w:p w:rsidR="00AC6FF1" w:rsidRDefault="00AC6FF1" w:rsidP="00AC6FF1">
      <w:pPr>
        <w:pStyle w:val="List2"/>
      </w:pPr>
      <w:r>
        <w:t>(s) 29 CFR 1915.1018. Inorganic arsenic, published 6/20/96, FR vol. 61, p. 31427.</w:t>
      </w:r>
    </w:p>
    <w:p w:rsidR="00AC6FF1" w:rsidRDefault="00AC6FF1" w:rsidP="00AC6FF1">
      <w:pPr>
        <w:pStyle w:val="List2"/>
      </w:pPr>
      <w:r>
        <w:t>(t) 29 CFR 1915.1020 Access to employee exposure and medical records, published 6/20/96, FR vol. 61, p. 31427.</w:t>
      </w:r>
    </w:p>
    <w:p w:rsidR="00AC6FF1" w:rsidRDefault="00AC6FF1" w:rsidP="00AC6FF1">
      <w:pPr>
        <w:pStyle w:val="List2"/>
      </w:pPr>
      <w:r>
        <w:t>(u) 29 CFR 1915.1024 Beryllium, published 1/9/17, FR vol. 82, no. 5, p. 2735.</w:t>
      </w:r>
    </w:p>
    <w:p w:rsidR="00AC6FF1" w:rsidRDefault="00AC6FF1" w:rsidP="00AC6FF1">
      <w:pPr>
        <w:pStyle w:val="List2"/>
      </w:pPr>
      <w:r>
        <w:t>(v) 29 CFR 1915.1025. Lead, published 6/20/96, FR vol. 61, p. 31427.</w:t>
      </w:r>
    </w:p>
    <w:p w:rsidR="00AC6FF1" w:rsidRDefault="00AC6FF1" w:rsidP="00AC6FF1">
      <w:pPr>
        <w:pStyle w:val="List2"/>
      </w:pPr>
      <w:r>
        <w:t>(w) 29 CFR 1915.1026 Chromium (VI), published 5/14/19, FR vol. 84, no. 93, p. 21416.</w:t>
      </w:r>
    </w:p>
    <w:p w:rsidR="00AC6FF1" w:rsidRDefault="00AC6FF1" w:rsidP="00AC6FF1">
      <w:pPr>
        <w:pStyle w:val="List2"/>
      </w:pPr>
      <w:r>
        <w:lastRenderedPageBreak/>
        <w:t>(x) 29 CFR 1915.1027. Cadmium, published 6/20/96, FR vol. 61, p. 31427.</w:t>
      </w:r>
    </w:p>
    <w:p w:rsidR="00AC6FF1" w:rsidRDefault="00AC6FF1" w:rsidP="00AC6FF1">
      <w:pPr>
        <w:pStyle w:val="List2"/>
      </w:pPr>
      <w:r>
        <w:t>(y) 29 CFR 1915.1028. Benzene, published 6/20/96, FR vol. 61, p. 31427.</w:t>
      </w:r>
    </w:p>
    <w:p w:rsidR="00AC6FF1" w:rsidRDefault="00AC6FF1" w:rsidP="00AC6FF1">
      <w:pPr>
        <w:pStyle w:val="List2"/>
      </w:pPr>
      <w:r>
        <w:t>(z) 29 CFR 1915.1030. Bloodborne pathogens, published 6/20/96, FR vol. 61, p. 31427.</w:t>
      </w:r>
    </w:p>
    <w:p w:rsidR="00AC6FF1" w:rsidRDefault="00AC6FF1" w:rsidP="00AC6FF1">
      <w:pPr>
        <w:pStyle w:val="List2"/>
      </w:pPr>
      <w:r>
        <w:t>(aa) 29 CFR 1915.1044. 1,2 dibromo 3 chloropropane, published 6/20/96, FR vol. 61, p. 31427.</w:t>
      </w:r>
    </w:p>
    <w:p w:rsidR="00AC6FF1" w:rsidRDefault="00AC6FF1" w:rsidP="00AC6FF1">
      <w:pPr>
        <w:pStyle w:val="List2"/>
      </w:pPr>
      <w:r>
        <w:t>(bb) 29 CFR 1915.1045. Acrylonitrile, published 6/20/96, FR vol. 61, p. 31427.</w:t>
      </w:r>
    </w:p>
    <w:p w:rsidR="00AC6FF1" w:rsidRDefault="00AC6FF1" w:rsidP="00AC6FF1">
      <w:pPr>
        <w:pStyle w:val="List2"/>
      </w:pPr>
      <w:r>
        <w:t>(cc) 29 CFR 1915.1047. Ethylene oxide, published 6/20/96, FR vol. 61, p. 31427.</w:t>
      </w:r>
    </w:p>
    <w:p w:rsidR="00AC6FF1" w:rsidRDefault="00AC6FF1" w:rsidP="00AC6FF1">
      <w:pPr>
        <w:pStyle w:val="List2"/>
      </w:pPr>
      <w:r>
        <w:t>(dd) 29 CFR 1915.1048. Formaldehyde, published 6/20/96, FR vol. 61, p. 31427.</w:t>
      </w:r>
    </w:p>
    <w:p w:rsidR="00AC6FF1" w:rsidRDefault="00AC6FF1" w:rsidP="00AC6FF1">
      <w:pPr>
        <w:pStyle w:val="List2"/>
      </w:pPr>
      <w:r>
        <w:t>(ee) 29 CFR 1915.1050. Methylenedianiline, published 6/20/96, FR vol. 61, p. 31427.</w:t>
      </w:r>
    </w:p>
    <w:p w:rsidR="00AC6FF1" w:rsidRDefault="00AC6FF1" w:rsidP="00AC6FF1">
      <w:pPr>
        <w:pStyle w:val="List2"/>
      </w:pPr>
      <w:r>
        <w:t>(ff) 29 CFR 1915.1052 Methylene Chloride, published 1/10/97, Federal Register, vol. 62, no. 7, p. 1619.</w:t>
      </w:r>
    </w:p>
    <w:p w:rsidR="003A4A82" w:rsidRDefault="00AC6FF1" w:rsidP="00AC6FF1">
      <w:pPr>
        <w:pStyle w:val="List2"/>
        <w:sectPr w:rsidR="003A4A82" w:rsidSect="003A4A82">
          <w:footerReference w:type="even" r:id="rId23"/>
          <w:footerReference w:type="default" r:id="rId24"/>
          <w:endnotePr>
            <w:numFmt w:val="decimal"/>
          </w:endnotePr>
          <w:type w:val="continuous"/>
          <w:pgSz w:w="12240" w:h="15840" w:code="1"/>
          <w:pgMar w:top="1440" w:right="864" w:bottom="1440" w:left="1440" w:header="720" w:footer="720" w:gutter="0"/>
          <w:cols w:space="720"/>
          <w:docGrid w:linePitch="360"/>
        </w:sectPr>
      </w:pPr>
      <w:r>
        <w:t>(gg) 29 CFR 1915.1053 Respirable Crystalline Silica, published 3/25/16, Federal Register, vol. 81, no. 58, p. 16286.</w:t>
      </w:r>
    </w:p>
    <w:p w:rsidR="003A4A82" w:rsidRDefault="00AC6FF1" w:rsidP="00AC6FF1">
      <w:pPr>
        <w:pStyle w:val="List2"/>
      </w:pPr>
      <w:r>
        <w:t>(hh) 29 CFR 1915.1120 Access to employee exposure and medical records has been redesignated to 1915.1020.</w:t>
      </w:r>
    </w:p>
    <w:p w:rsidR="00AC6FF1" w:rsidRDefault="00AC6FF1" w:rsidP="00AC6FF1">
      <w:pPr>
        <w:pStyle w:val="List2"/>
      </w:pPr>
      <w:r>
        <w:t>(</w:t>
      </w:r>
      <w:r w:rsidRPr="004F3998">
        <w:rPr>
          <w:b/>
        </w:rPr>
        <w:t>Note</w:t>
      </w:r>
      <w:r>
        <w:t>: 29 CFR 1915.99, Hazard Communication was redesignated as 1915.1200 on 7/1/93, FR vol. 58, no. 125, p. 35514.)</w:t>
      </w:r>
    </w:p>
    <w:p w:rsidR="00AC6FF1" w:rsidRDefault="00AC6FF1" w:rsidP="00AC6FF1">
      <w:pPr>
        <w:pStyle w:val="List2"/>
      </w:pPr>
      <w:r>
        <w:t>(ii) 29 CFR 1915.1200. Hazard communication, published 6/20/96, FR vol. 61, p. 31427.</w:t>
      </w:r>
    </w:p>
    <w:p w:rsidR="00AC6FF1" w:rsidRDefault="00AC6FF1" w:rsidP="00AC6FF1">
      <w:pPr>
        <w:pStyle w:val="List2"/>
      </w:pPr>
      <w:r>
        <w:t>(jj) 29 CFR 1915.1450. Occupational exposure to hazardous chemicals in laboratories, published 6/20/96, FR vol. 61, p. 31427.</w:t>
      </w:r>
    </w:p>
    <w:p w:rsidR="00AC6FF1" w:rsidRDefault="00AC6FF1" w:rsidP="00AC6FF1">
      <w:pPr>
        <w:pStyle w:val="History"/>
      </w:pPr>
      <w:r>
        <w:t>Stat. Auth.:  ORS 654.025(2) and 656.726(4).</w:t>
      </w:r>
    </w:p>
    <w:p w:rsidR="00AC6FF1" w:rsidRDefault="00AC6FF1" w:rsidP="00AC6FF1">
      <w:pPr>
        <w:pStyle w:val="History"/>
      </w:pPr>
      <w:r>
        <w:t>Stats. Implemented:  ORS 654.001 to 654.295.</w:t>
      </w:r>
    </w:p>
    <w:p w:rsidR="00AC6FF1" w:rsidRDefault="00AC6FF1" w:rsidP="00AC6FF1">
      <w:pPr>
        <w:pStyle w:val="History"/>
      </w:pPr>
      <w:r>
        <w:t>Hist:  OR OSHA Admin. Order 9-1992, f. 9/24/92, ef. 11/1/92.</w:t>
      </w:r>
    </w:p>
    <w:p w:rsidR="00AC6FF1" w:rsidRDefault="00AC6FF1" w:rsidP="00AC6FF1">
      <w:pPr>
        <w:pStyle w:val="History"/>
      </w:pPr>
      <w:r>
        <w:tab/>
        <w:t>OR OSHA Admin. Order 1-1993, f. 1/22/93, ef. 1/22/93.</w:t>
      </w:r>
    </w:p>
    <w:p w:rsidR="00AC6FF1" w:rsidRDefault="00AC6FF1" w:rsidP="00AC6FF1">
      <w:pPr>
        <w:pStyle w:val="History"/>
      </w:pPr>
      <w:r>
        <w:tab/>
        <w:t>OR OSHA Admin. Order 19-1993, f. 12/29/93, ef. 12/29/93.</w:t>
      </w:r>
    </w:p>
    <w:p w:rsidR="00AC6FF1" w:rsidRDefault="00AC6FF1" w:rsidP="00AC6FF1">
      <w:pPr>
        <w:pStyle w:val="History"/>
      </w:pPr>
      <w:r>
        <w:tab/>
        <w:t>OR OSHA Admin. Order 4-1994, f. 8/4/94, ef. 8/4/94.</w:t>
      </w:r>
    </w:p>
    <w:p w:rsidR="00AC6FF1" w:rsidRDefault="00AC6FF1" w:rsidP="00AC6FF1">
      <w:pPr>
        <w:pStyle w:val="History"/>
      </w:pPr>
      <w:r>
        <w:tab/>
        <w:t>OR OSHA Admin. Order 1-1995, f. 1/19/95, ef. 1/19/95.</w:t>
      </w:r>
    </w:p>
    <w:p w:rsidR="00AC6FF1" w:rsidRDefault="00AC6FF1" w:rsidP="00AC6FF1">
      <w:pPr>
        <w:pStyle w:val="History"/>
      </w:pPr>
      <w:r>
        <w:tab/>
        <w:t>OR OSHA Admin. Order 2-1995, f. 1/25/95, ef. 1/25/95.</w:t>
      </w:r>
    </w:p>
    <w:p w:rsidR="00AC6FF1" w:rsidRDefault="00AC6FF1" w:rsidP="00AC6FF1">
      <w:pPr>
        <w:pStyle w:val="History"/>
      </w:pPr>
      <w:r>
        <w:tab/>
        <w:t>OR OSHA Admin. Order 4-1995, f. 3/29/95, ef. 3/29/95.</w:t>
      </w:r>
    </w:p>
    <w:p w:rsidR="00AC6FF1" w:rsidRDefault="00AC6FF1" w:rsidP="00AC6FF1">
      <w:pPr>
        <w:pStyle w:val="History"/>
      </w:pPr>
      <w:r>
        <w:tab/>
        <w:t>OR OSHA Admin. Order 5-1995, f. 4/6/95, ef. 4/6/95.</w:t>
      </w:r>
    </w:p>
    <w:p w:rsidR="00AC6FF1" w:rsidRDefault="00AC6FF1" w:rsidP="00AC6FF1">
      <w:pPr>
        <w:pStyle w:val="History"/>
      </w:pPr>
      <w:r>
        <w:tab/>
        <w:t>OR OSHA Admin. Order 8-1995, f. 8/25/95, ef. 8/25/95.</w:t>
      </w:r>
    </w:p>
    <w:p w:rsidR="00AC6FF1" w:rsidRDefault="00AC6FF1" w:rsidP="00AC6FF1">
      <w:pPr>
        <w:pStyle w:val="History"/>
      </w:pPr>
      <w:r>
        <w:tab/>
        <w:t>OR OSHA Admin. Order 5-1996, f. 11/29/96, ef. 18/29/96.</w:t>
      </w:r>
    </w:p>
    <w:p w:rsidR="00AC6FF1" w:rsidRDefault="00AC6FF1" w:rsidP="00AC6FF1">
      <w:pPr>
        <w:pStyle w:val="History"/>
      </w:pPr>
      <w:r>
        <w:tab/>
        <w:t>OR OSHA Admin. Order 6-1996, f. 11/29/96, ef. 11/29/96.</w:t>
      </w:r>
    </w:p>
    <w:p w:rsidR="00AC6FF1" w:rsidRDefault="00AC6FF1" w:rsidP="00AC6FF1">
      <w:pPr>
        <w:pStyle w:val="History"/>
      </w:pPr>
      <w:r>
        <w:tab/>
        <w:t>OR OSHA Admin. Order 3-1997, f. 3/28/97, ef. 3/28/97.</w:t>
      </w:r>
    </w:p>
    <w:p w:rsidR="00AC6FF1" w:rsidRDefault="00AC6FF1" w:rsidP="00AC6FF1">
      <w:pPr>
        <w:pStyle w:val="History"/>
      </w:pPr>
      <w:r>
        <w:tab/>
        <w:t>OR OSHA Admin. Order 4-1997, f. 4/2/97, ef. 4/2/97.</w:t>
      </w:r>
    </w:p>
    <w:p w:rsidR="00AC6FF1" w:rsidRDefault="00AC6FF1" w:rsidP="00AC6FF1">
      <w:pPr>
        <w:pStyle w:val="History"/>
      </w:pPr>
      <w:r>
        <w:tab/>
        <w:t>OR-OSHA Admin. Order 6-1997, f. 5/2/97, ef. 5/2/97.</w:t>
      </w:r>
    </w:p>
    <w:p w:rsidR="00AC6FF1" w:rsidRDefault="00AC6FF1" w:rsidP="00AC6FF1">
      <w:pPr>
        <w:pStyle w:val="History"/>
      </w:pPr>
      <w:r>
        <w:tab/>
        <w:t>OR-OSHA Admin. Order 7-1998, f. 12/28/98, ef. 12/28/98.</w:t>
      </w:r>
    </w:p>
    <w:p w:rsidR="00AC6FF1" w:rsidRDefault="00AC6FF1" w:rsidP="00AC6FF1">
      <w:pPr>
        <w:pStyle w:val="History"/>
      </w:pPr>
      <w:r>
        <w:tab/>
        <w:t>OR-OSHA Admin. Order 4-2001, f. 2/5/01, ef. 2/5/01.</w:t>
      </w:r>
    </w:p>
    <w:p w:rsidR="00AC6FF1" w:rsidRDefault="00AC6FF1" w:rsidP="00AC6FF1">
      <w:pPr>
        <w:pStyle w:val="History"/>
      </w:pPr>
      <w:r>
        <w:tab/>
        <w:t>OR-OSHA Admin. Order 4-2003, f. 5/6/03, ef. 5/6/03.</w:t>
      </w:r>
    </w:p>
    <w:p w:rsidR="00AC6FF1" w:rsidRDefault="00AC6FF1" w:rsidP="00AC6FF1">
      <w:pPr>
        <w:pStyle w:val="History"/>
      </w:pPr>
      <w:r>
        <w:lastRenderedPageBreak/>
        <w:tab/>
        <w:t>OR-OSHA Admin. Order 8-2004, f. 12/30/04, ef. 12/30/04.</w:t>
      </w:r>
    </w:p>
    <w:p w:rsidR="00AC6FF1" w:rsidRDefault="00AC6FF1" w:rsidP="00AC6FF1">
      <w:pPr>
        <w:pStyle w:val="History"/>
      </w:pPr>
      <w:r>
        <w:tab/>
        <w:t>OR-OSHA Admin. Order 1-2005, f. 4/12/05, ef. 4/12/05.</w:t>
      </w:r>
    </w:p>
    <w:p w:rsidR="00AC6FF1" w:rsidRDefault="00AC6FF1" w:rsidP="00AC6FF1">
      <w:pPr>
        <w:pStyle w:val="History"/>
      </w:pPr>
      <w:r>
        <w:tab/>
        <w:t>OR-OSHA Admin. Order 4-2006, f. 7/24/06, ef. 7/24/06.</w:t>
      </w:r>
    </w:p>
    <w:p w:rsidR="00AC6FF1" w:rsidRDefault="00AC6FF1" w:rsidP="00AC6FF1">
      <w:pPr>
        <w:pStyle w:val="History"/>
      </w:pPr>
      <w:r>
        <w:tab/>
        <w:t>OR-OSHA Admin. Order 6-2006, f. 8/30/06, ef. 8/30/06.</w:t>
      </w:r>
    </w:p>
    <w:p w:rsidR="00AC6FF1" w:rsidRDefault="00AC6FF1" w:rsidP="00AC6FF1">
      <w:pPr>
        <w:pStyle w:val="History"/>
      </w:pPr>
      <w:r>
        <w:tab/>
        <w:t>OR-OSHA Admin. Order 10-2006, f. 11/30/06, ef. 11/30/06.</w:t>
      </w:r>
    </w:p>
    <w:p w:rsidR="00AC6FF1" w:rsidRDefault="00AC6FF1" w:rsidP="00AC6FF1">
      <w:pPr>
        <w:pStyle w:val="History"/>
      </w:pPr>
      <w:r>
        <w:tab/>
        <w:t>OR-OSHA Admin. Order 1-2007, f. 1/9/07, ef. 1/16/07.</w:t>
      </w:r>
    </w:p>
    <w:p w:rsidR="00AC6FF1" w:rsidRDefault="00AC6FF1" w:rsidP="00AC6FF1">
      <w:pPr>
        <w:pStyle w:val="History"/>
      </w:pPr>
      <w:r>
        <w:tab/>
        <w:t>OR-OSHA Admin. Order 5-2008, f. 5/1/08, ef. 5/15/08.</w:t>
      </w:r>
    </w:p>
    <w:p w:rsidR="00AC6FF1" w:rsidRDefault="00AC6FF1" w:rsidP="00AC6FF1">
      <w:pPr>
        <w:pStyle w:val="History"/>
      </w:pPr>
      <w:r>
        <w:tab/>
        <w:t>OR-OSHA Admin. Order 5-2009, f. 5/29/09, ef. 5/29/09.</w:t>
      </w:r>
    </w:p>
    <w:p w:rsidR="00AC6FF1" w:rsidRDefault="00AC6FF1" w:rsidP="00AC6FF1">
      <w:pPr>
        <w:pStyle w:val="History"/>
      </w:pPr>
      <w:r>
        <w:tab/>
        <w:t>OR-OSHA Admin. Order 2-2010, f. 2/25/10, ef. 2/25/10.</w:t>
      </w:r>
    </w:p>
    <w:p w:rsidR="00AC6FF1" w:rsidRDefault="00AC6FF1" w:rsidP="00AC6FF1">
      <w:pPr>
        <w:pStyle w:val="History"/>
      </w:pPr>
      <w:r>
        <w:tab/>
        <w:t>OR-OSHA Admin. Order 3-2010, f. 6/10/10, ef. 6/15/10.</w:t>
      </w:r>
    </w:p>
    <w:p w:rsidR="00AC6FF1" w:rsidRDefault="00AC6FF1" w:rsidP="00AC6FF1">
      <w:pPr>
        <w:pStyle w:val="History"/>
      </w:pPr>
      <w:r>
        <w:tab/>
        <w:t>OR-OSHA Admin. Order 3-2011, f. 11/1/11, ef. 11/1/11.</w:t>
      </w:r>
    </w:p>
    <w:p w:rsidR="00AC6FF1" w:rsidRDefault="00AC6FF1" w:rsidP="00AC6FF1">
      <w:pPr>
        <w:pStyle w:val="History"/>
      </w:pPr>
      <w:r>
        <w:tab/>
        <w:t>OR-OSHA Admin. Order 4-2011, f. 12/8/11, ef. 12/8/11.</w:t>
      </w:r>
    </w:p>
    <w:p w:rsidR="00AC6FF1" w:rsidRDefault="00AC6FF1" w:rsidP="00AC6FF1">
      <w:pPr>
        <w:pStyle w:val="History"/>
      </w:pPr>
      <w:r>
        <w:tab/>
        <w:t>OR-OSHA Admin. Order 1-2012, f. 4/10/12, ef. 4/10/12.</w:t>
      </w:r>
    </w:p>
    <w:p w:rsidR="00AC6FF1" w:rsidRDefault="00AC6FF1" w:rsidP="00AC6FF1">
      <w:pPr>
        <w:pStyle w:val="History"/>
      </w:pPr>
      <w:r>
        <w:tab/>
        <w:t>OR-OSHA Admin. Order 5-2012, f. 9/25/12, ef. 9/25/12.</w:t>
      </w:r>
    </w:p>
    <w:p w:rsidR="00AC6FF1" w:rsidRDefault="00AC6FF1" w:rsidP="00AC6FF1">
      <w:pPr>
        <w:pStyle w:val="History"/>
      </w:pPr>
      <w:r>
        <w:tab/>
        <w:t>OR-OSHA Admin. Order 7-2012, f. 12/14/12, ef. 12/14/12.</w:t>
      </w:r>
    </w:p>
    <w:p w:rsidR="00AC6FF1" w:rsidRDefault="00AC6FF1" w:rsidP="00AC6FF1">
      <w:pPr>
        <w:pStyle w:val="History"/>
      </w:pPr>
      <w:r>
        <w:tab/>
        <w:t>OR-OSHA Admin. Order 4-2013, f. 7/19/13, ef. 7/19/13.</w:t>
      </w:r>
    </w:p>
    <w:p w:rsidR="00AC6FF1" w:rsidRDefault="00AC6FF1" w:rsidP="00AC6FF1">
      <w:pPr>
        <w:pStyle w:val="History"/>
      </w:pPr>
      <w:r>
        <w:tab/>
        <w:t>OR-OSHA Admin. Order 3-2016, f. 9/7/16, ef. 9/7/16.</w:t>
      </w:r>
    </w:p>
    <w:p w:rsidR="00AC6FF1" w:rsidRDefault="00AC6FF1" w:rsidP="00AC6FF1">
      <w:pPr>
        <w:pStyle w:val="History"/>
      </w:pPr>
      <w:r>
        <w:tab/>
        <w:t>OR-OSHA Admin. Order 5-2016, f. 9/23/16, ef. 7/1/18.</w:t>
      </w:r>
    </w:p>
    <w:p w:rsidR="00AC6FF1" w:rsidRDefault="00AC6FF1" w:rsidP="00AC6FF1">
      <w:pPr>
        <w:pStyle w:val="History"/>
      </w:pPr>
      <w:r>
        <w:tab/>
        <w:t>OR-OSHA Admin. Order 3-2017, f. 07/07/17, ef. 03/12/18.</w:t>
      </w:r>
    </w:p>
    <w:p w:rsidR="00AC6FF1" w:rsidRDefault="00AC6FF1" w:rsidP="00AC6FF1">
      <w:pPr>
        <w:pStyle w:val="History"/>
      </w:pPr>
      <w:r>
        <w:tab/>
      </w:r>
      <w:r w:rsidRPr="000309AF">
        <w:t xml:space="preserve">OR-OSHA Admin. Order </w:t>
      </w:r>
      <w:r>
        <w:t>3</w:t>
      </w:r>
      <w:r w:rsidRPr="000309AF">
        <w:t>-</w:t>
      </w:r>
      <w:r>
        <w:t>2019</w:t>
      </w:r>
      <w:r w:rsidRPr="000309AF">
        <w:t xml:space="preserve">, f. </w:t>
      </w:r>
      <w:r>
        <w:t>10</w:t>
      </w:r>
      <w:r w:rsidRPr="000309AF">
        <w:t>/</w:t>
      </w:r>
      <w:r>
        <w:t>29</w:t>
      </w:r>
      <w:r w:rsidRPr="000309AF">
        <w:t>/</w:t>
      </w:r>
      <w:r>
        <w:t>19</w:t>
      </w:r>
      <w:r w:rsidRPr="000309AF">
        <w:t xml:space="preserve">, ef. </w:t>
      </w:r>
      <w:r>
        <w:t>10</w:t>
      </w:r>
      <w:r w:rsidRPr="000309AF">
        <w:t>/</w:t>
      </w:r>
      <w:r>
        <w:t>29</w:t>
      </w:r>
      <w:r w:rsidRPr="000309AF">
        <w:t>/</w:t>
      </w:r>
      <w:r>
        <w:t>19</w:t>
      </w:r>
      <w:r w:rsidRPr="000309AF">
        <w:t>.</w:t>
      </w:r>
    </w:p>
    <w:p w:rsidR="00AC6FF1" w:rsidRDefault="00AC6FF1" w:rsidP="00AC6FF1">
      <w:pPr>
        <w:pStyle w:val="History"/>
      </w:pPr>
      <w:r>
        <w:tab/>
      </w:r>
    </w:p>
    <w:p w:rsidR="00AC6FF1" w:rsidRPr="005749CB" w:rsidRDefault="00AC6FF1" w:rsidP="00FF4B5A">
      <w:pPr>
        <w:pStyle w:val="History"/>
      </w:pPr>
    </w:p>
    <w:p w:rsidR="0026151E" w:rsidRDefault="0026151E" w:rsidP="006F02A7"/>
    <w:sectPr w:rsidR="0026151E" w:rsidSect="003A4A82">
      <w:footerReference w:type="even" r:id="rId25"/>
      <w:endnotePr>
        <w:numFmt w:val="decimal"/>
      </w:endnotePr>
      <w:type w:val="continuous"/>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E55" w:rsidRDefault="002C7E55">
      <w:r>
        <w:separator/>
      </w:r>
    </w:p>
    <w:p w:rsidR="002C7E55" w:rsidRDefault="002C7E55"/>
  </w:endnote>
  <w:endnote w:type="continuationSeparator" w:id="0">
    <w:p w:rsidR="002C7E55" w:rsidRDefault="002C7E55">
      <w:r>
        <w:continuationSeparator/>
      </w:r>
    </w:p>
    <w:p w:rsidR="002C7E55" w:rsidRDefault="002C7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55" w:rsidRPr="00AE3D11" w:rsidRDefault="002C7E55" w:rsidP="00AE3D11">
    <w:pPr>
      <w:pStyle w:val="Footer"/>
      <w:jc w:val="center"/>
    </w:pPr>
    <w:r>
      <w:fldChar w:fldCharType="begin"/>
    </w:r>
    <w:r>
      <w:instrText xml:space="preserve"> PAGE   \* MERGEFORMAT </w:instrText>
    </w:r>
    <w:r>
      <w:fldChar w:fldCharType="separate"/>
    </w:r>
    <w:r w:rsidR="00AA67B1">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92036" w:rsidRPr="00540D85" w:rsidTr="00FC4F7E">
      <w:trPr>
        <w:cantSplit/>
      </w:trPr>
      <w:tc>
        <w:tcPr>
          <w:tcW w:w="4289" w:type="dxa"/>
        </w:tcPr>
        <w:p w:rsidR="00E92036" w:rsidRPr="008D6374" w:rsidRDefault="00E92036" w:rsidP="00123A14">
          <w:pPr>
            <w:pStyle w:val="Footer"/>
          </w:pPr>
          <w:r>
            <w:t>437-005-0001 (16)(</w:t>
          </w:r>
          <w:r w:rsidR="00123A14">
            <w:t>e</w:t>
          </w:r>
          <w:r>
            <w:t>)</w:t>
          </w:r>
        </w:p>
      </w:tc>
      <w:tc>
        <w:tcPr>
          <w:tcW w:w="1350" w:type="dxa"/>
        </w:tcPr>
        <w:p w:rsidR="00E92036" w:rsidRPr="008D6374" w:rsidRDefault="00AA67B1" w:rsidP="00FC4F7E">
          <w:pPr>
            <w:pStyle w:val="Footer"/>
            <w:jc w:val="center"/>
          </w:pPr>
          <w:sdt>
            <w:sdtPr>
              <w:rPr>
                <w:rStyle w:val="FooterChar"/>
              </w:rPr>
              <w:alias w:val="Subdivision"/>
              <w:tag w:val=""/>
              <w:id w:val="-8038423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92036">
                <w:rPr>
                  <w:rStyle w:val="FooterChar"/>
                </w:rPr>
                <w:t>5</w:t>
              </w:r>
            </w:sdtContent>
          </w:sdt>
          <w:r w:rsidR="00E92036" w:rsidRPr="008D6374">
            <w:t xml:space="preserve"> - </w:t>
          </w:r>
          <w:r w:rsidR="00E92036" w:rsidRPr="008D6374">
            <w:fldChar w:fldCharType="begin"/>
          </w:r>
          <w:r w:rsidR="00E92036" w:rsidRPr="008D6374">
            <w:instrText xml:space="preserve"> PAGE   \* MERGEFORMAT </w:instrText>
          </w:r>
          <w:r w:rsidR="00E92036" w:rsidRPr="008D6374">
            <w:fldChar w:fldCharType="separate"/>
          </w:r>
          <w:r>
            <w:rPr>
              <w:noProof/>
            </w:rPr>
            <w:t>8</w:t>
          </w:r>
          <w:r w:rsidR="00E92036" w:rsidRPr="008D6374">
            <w:fldChar w:fldCharType="end"/>
          </w:r>
        </w:p>
      </w:tc>
      <w:tc>
        <w:tcPr>
          <w:tcW w:w="4290" w:type="dxa"/>
        </w:tcPr>
        <w:p w:rsidR="00E92036" w:rsidRPr="00540D85" w:rsidRDefault="00E92036" w:rsidP="00123A14">
          <w:pPr>
            <w:pStyle w:val="Footer"/>
            <w:jc w:val="right"/>
          </w:pPr>
          <w:r>
            <w:t>437-005-0001 (16)(</w:t>
          </w:r>
          <w:r w:rsidR="00123A14">
            <w:t>w</w:t>
          </w:r>
          <w:r>
            <w:t>)</w:t>
          </w:r>
        </w:p>
      </w:tc>
    </w:tr>
  </w:tbl>
  <w:p w:rsidR="00E92036" w:rsidRDefault="00E92036" w:rsidP="00426E10">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92036" w:rsidRPr="00540D85" w:rsidTr="00FC4F7E">
      <w:trPr>
        <w:cantSplit/>
      </w:trPr>
      <w:tc>
        <w:tcPr>
          <w:tcW w:w="4289" w:type="dxa"/>
        </w:tcPr>
        <w:p w:rsidR="00E92036" w:rsidRPr="008D6374" w:rsidRDefault="00E92036" w:rsidP="00123A14">
          <w:pPr>
            <w:pStyle w:val="Footer"/>
          </w:pPr>
          <w:r>
            <w:t>437-005-0001 (16)(</w:t>
          </w:r>
          <w:r w:rsidR="00123A14">
            <w:t>x</w:t>
          </w:r>
          <w:r>
            <w:t>)</w:t>
          </w:r>
        </w:p>
      </w:tc>
      <w:tc>
        <w:tcPr>
          <w:tcW w:w="1350" w:type="dxa"/>
        </w:tcPr>
        <w:p w:rsidR="00E92036" w:rsidRPr="008D6374" w:rsidRDefault="00AA67B1" w:rsidP="00FC4F7E">
          <w:pPr>
            <w:pStyle w:val="Footer"/>
            <w:jc w:val="center"/>
          </w:pPr>
          <w:sdt>
            <w:sdtPr>
              <w:rPr>
                <w:rStyle w:val="FooterChar"/>
              </w:rPr>
              <w:alias w:val="Subdivision"/>
              <w:tag w:val=""/>
              <w:id w:val="640678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92036">
                <w:rPr>
                  <w:rStyle w:val="FooterChar"/>
                </w:rPr>
                <w:t>5</w:t>
              </w:r>
            </w:sdtContent>
          </w:sdt>
          <w:r w:rsidR="00E92036" w:rsidRPr="008D6374">
            <w:t xml:space="preserve"> - </w:t>
          </w:r>
          <w:r w:rsidR="00E92036" w:rsidRPr="008D6374">
            <w:fldChar w:fldCharType="begin"/>
          </w:r>
          <w:r w:rsidR="00E92036" w:rsidRPr="008D6374">
            <w:instrText xml:space="preserve"> PAGE   \* MERGEFORMAT </w:instrText>
          </w:r>
          <w:r w:rsidR="00E92036" w:rsidRPr="008D6374">
            <w:fldChar w:fldCharType="separate"/>
          </w:r>
          <w:r>
            <w:rPr>
              <w:noProof/>
            </w:rPr>
            <w:t>9</w:t>
          </w:r>
          <w:r w:rsidR="00E92036" w:rsidRPr="008D6374">
            <w:fldChar w:fldCharType="end"/>
          </w:r>
        </w:p>
      </w:tc>
      <w:tc>
        <w:tcPr>
          <w:tcW w:w="4290" w:type="dxa"/>
        </w:tcPr>
        <w:p w:rsidR="00E92036" w:rsidRPr="00540D85" w:rsidRDefault="00E92036" w:rsidP="00E92036">
          <w:pPr>
            <w:pStyle w:val="Footer"/>
            <w:jc w:val="right"/>
          </w:pPr>
          <w:r>
            <w:t>437-005-0001 (16)(jj)</w:t>
          </w:r>
        </w:p>
      </w:tc>
    </w:tr>
  </w:tbl>
  <w:p w:rsidR="00E92036" w:rsidRDefault="00E92036" w:rsidP="005E6618">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92036" w:rsidRPr="00540D85" w:rsidTr="00FC4F7E">
      <w:trPr>
        <w:cantSplit/>
      </w:trPr>
      <w:tc>
        <w:tcPr>
          <w:tcW w:w="4289" w:type="dxa"/>
        </w:tcPr>
        <w:p w:rsidR="00E92036" w:rsidRPr="008D6374" w:rsidRDefault="00E92036" w:rsidP="00E92036">
          <w:pPr>
            <w:pStyle w:val="Footer"/>
          </w:pPr>
          <w:r>
            <w:t>437-005-0001 (16)(jj)</w:t>
          </w:r>
        </w:p>
      </w:tc>
      <w:tc>
        <w:tcPr>
          <w:tcW w:w="1350" w:type="dxa"/>
        </w:tcPr>
        <w:p w:rsidR="00E92036" w:rsidRPr="008D6374" w:rsidRDefault="00AA67B1" w:rsidP="00FC4F7E">
          <w:pPr>
            <w:pStyle w:val="Footer"/>
            <w:jc w:val="center"/>
          </w:pPr>
          <w:sdt>
            <w:sdtPr>
              <w:rPr>
                <w:rStyle w:val="FooterChar"/>
              </w:rPr>
              <w:alias w:val="Subdivision"/>
              <w:tag w:val=""/>
              <w:id w:val="19073357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92036">
                <w:rPr>
                  <w:rStyle w:val="FooterChar"/>
                </w:rPr>
                <w:t>5</w:t>
              </w:r>
            </w:sdtContent>
          </w:sdt>
          <w:r w:rsidR="00E92036" w:rsidRPr="008D6374">
            <w:t xml:space="preserve"> - </w:t>
          </w:r>
          <w:r w:rsidR="00E92036" w:rsidRPr="008D6374">
            <w:fldChar w:fldCharType="begin"/>
          </w:r>
          <w:r w:rsidR="00E92036" w:rsidRPr="008D6374">
            <w:instrText xml:space="preserve"> PAGE   \* MERGEFORMAT </w:instrText>
          </w:r>
          <w:r w:rsidR="00E92036" w:rsidRPr="008D6374">
            <w:fldChar w:fldCharType="separate"/>
          </w:r>
          <w:r>
            <w:rPr>
              <w:noProof/>
            </w:rPr>
            <w:t>10</w:t>
          </w:r>
          <w:r w:rsidR="00E92036" w:rsidRPr="008D6374">
            <w:fldChar w:fldCharType="end"/>
          </w:r>
        </w:p>
      </w:tc>
      <w:tc>
        <w:tcPr>
          <w:tcW w:w="4290" w:type="dxa"/>
        </w:tcPr>
        <w:p w:rsidR="00E92036" w:rsidRPr="00540D85" w:rsidRDefault="00E92036" w:rsidP="00E92036">
          <w:pPr>
            <w:pStyle w:val="Footer"/>
            <w:jc w:val="right"/>
          </w:pPr>
          <w:r>
            <w:t>437-005-0001 (16)(jj)</w:t>
          </w:r>
        </w:p>
      </w:tc>
    </w:tr>
  </w:tbl>
  <w:p w:rsidR="00E92036" w:rsidRDefault="00E92036"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55" w:rsidRDefault="002C7E55" w:rsidP="00AE3D11">
    <w:pPr>
      <w:pStyle w:val="Footer"/>
      <w:jc w:val="center"/>
    </w:pPr>
    <w:r>
      <w:fldChar w:fldCharType="begin"/>
    </w:r>
    <w:r>
      <w:instrText xml:space="preserve"> PAGE   \* MERGEFORMAT </w:instrText>
    </w:r>
    <w:r>
      <w:fldChar w:fldCharType="separate"/>
    </w:r>
    <w:r w:rsidR="00C5420A">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C7E55" w:rsidRPr="00540D85" w:rsidTr="00FC4F7E">
      <w:trPr>
        <w:cantSplit/>
      </w:trPr>
      <w:tc>
        <w:tcPr>
          <w:tcW w:w="4289" w:type="dxa"/>
        </w:tcPr>
        <w:p w:rsidR="002C7E55" w:rsidRPr="008D6374" w:rsidRDefault="00E92036" w:rsidP="00FC4F7E">
          <w:pPr>
            <w:pStyle w:val="Footer"/>
          </w:pPr>
          <w:r>
            <w:t>437-005-0001 (2)(f)</w:t>
          </w:r>
        </w:p>
      </w:tc>
      <w:tc>
        <w:tcPr>
          <w:tcW w:w="1350" w:type="dxa"/>
        </w:tcPr>
        <w:p w:rsidR="002C7E55" w:rsidRPr="008D6374" w:rsidRDefault="00AA67B1"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C7E55">
                <w:rPr>
                  <w:rStyle w:val="FooterChar"/>
                </w:rPr>
                <w:t>5</w:t>
              </w:r>
            </w:sdtContent>
          </w:sdt>
          <w:r w:rsidR="002C7E55" w:rsidRPr="008D6374">
            <w:t xml:space="preserve"> - </w:t>
          </w:r>
          <w:r w:rsidR="002C7E55" w:rsidRPr="008D6374">
            <w:fldChar w:fldCharType="begin"/>
          </w:r>
          <w:r w:rsidR="002C7E55" w:rsidRPr="008D6374">
            <w:instrText xml:space="preserve"> PAGE   \* MERGEFORMAT </w:instrText>
          </w:r>
          <w:r w:rsidR="002C7E55" w:rsidRPr="008D6374">
            <w:fldChar w:fldCharType="separate"/>
          </w:r>
          <w:r>
            <w:rPr>
              <w:noProof/>
            </w:rPr>
            <w:t>2</w:t>
          </w:r>
          <w:r w:rsidR="002C7E55" w:rsidRPr="008D6374">
            <w:fldChar w:fldCharType="end"/>
          </w:r>
        </w:p>
      </w:tc>
      <w:tc>
        <w:tcPr>
          <w:tcW w:w="4290" w:type="dxa"/>
        </w:tcPr>
        <w:p w:rsidR="002C7E55" w:rsidRPr="00540D85" w:rsidRDefault="00E92036" w:rsidP="00E92036">
          <w:pPr>
            <w:pStyle w:val="Footer"/>
            <w:jc w:val="right"/>
          </w:pPr>
          <w:r>
            <w:t>437-005-0001 (5)(a)</w:t>
          </w:r>
        </w:p>
      </w:tc>
    </w:tr>
  </w:tbl>
  <w:p w:rsidR="002C7E55" w:rsidRDefault="002C7E55"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C7E55" w:rsidRPr="00540D85" w:rsidTr="00FC4F7E">
      <w:trPr>
        <w:cantSplit/>
      </w:trPr>
      <w:tc>
        <w:tcPr>
          <w:tcW w:w="4289" w:type="dxa"/>
        </w:tcPr>
        <w:p w:rsidR="002C7E55" w:rsidRPr="008D6374" w:rsidRDefault="00E92036" w:rsidP="00E92036">
          <w:pPr>
            <w:pStyle w:val="Footer"/>
          </w:pPr>
          <w:r>
            <w:t>437-005-0001</w:t>
          </w:r>
          <w:r w:rsidR="00123A14">
            <w:t xml:space="preserve"> (5)(b)</w:t>
          </w:r>
        </w:p>
      </w:tc>
      <w:tc>
        <w:tcPr>
          <w:tcW w:w="1350" w:type="dxa"/>
        </w:tcPr>
        <w:p w:rsidR="002C7E55" w:rsidRPr="008D6374" w:rsidRDefault="00AA67B1"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C7E55">
                <w:rPr>
                  <w:rStyle w:val="FooterChar"/>
                </w:rPr>
                <w:t>5</w:t>
              </w:r>
            </w:sdtContent>
          </w:sdt>
          <w:r w:rsidR="002C7E55" w:rsidRPr="008D6374">
            <w:t xml:space="preserve"> - </w:t>
          </w:r>
          <w:r w:rsidR="002C7E55" w:rsidRPr="008D6374">
            <w:fldChar w:fldCharType="begin"/>
          </w:r>
          <w:r w:rsidR="002C7E55" w:rsidRPr="008D6374">
            <w:instrText xml:space="preserve"> PAGE   \* MERGEFORMAT </w:instrText>
          </w:r>
          <w:r w:rsidR="002C7E55" w:rsidRPr="008D6374">
            <w:fldChar w:fldCharType="separate"/>
          </w:r>
          <w:r>
            <w:rPr>
              <w:noProof/>
            </w:rPr>
            <w:t>3</w:t>
          </w:r>
          <w:r w:rsidR="002C7E55" w:rsidRPr="008D6374">
            <w:fldChar w:fldCharType="end"/>
          </w:r>
        </w:p>
      </w:tc>
      <w:tc>
        <w:tcPr>
          <w:tcW w:w="4290" w:type="dxa"/>
        </w:tcPr>
        <w:p w:rsidR="002C7E55" w:rsidRPr="00540D85" w:rsidRDefault="00E92036" w:rsidP="00877106">
          <w:pPr>
            <w:pStyle w:val="Footer"/>
            <w:jc w:val="right"/>
          </w:pPr>
          <w:r>
            <w:t>437-005-0001 (</w:t>
          </w:r>
          <w:r w:rsidR="00123A14">
            <w:t>6</w:t>
          </w:r>
          <w:r>
            <w:t>)(</w:t>
          </w:r>
          <w:r w:rsidR="00877106">
            <w:t>l</w:t>
          </w:r>
          <w:r>
            <w:t>)</w:t>
          </w:r>
        </w:p>
      </w:tc>
    </w:tr>
  </w:tbl>
  <w:p w:rsidR="002C7E55" w:rsidRDefault="002C7E55"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C7E55" w:rsidRPr="00540D85" w:rsidTr="007439A3">
      <w:trPr>
        <w:cantSplit/>
      </w:trPr>
      <w:tc>
        <w:tcPr>
          <w:tcW w:w="4289" w:type="dxa"/>
        </w:tcPr>
        <w:p w:rsidR="002C7E55" w:rsidRPr="008D6374" w:rsidRDefault="00E92036" w:rsidP="007439A3">
          <w:pPr>
            <w:pStyle w:val="Footer"/>
          </w:pPr>
          <w:r>
            <w:t>437-005-0001</w:t>
          </w:r>
        </w:p>
      </w:tc>
      <w:tc>
        <w:tcPr>
          <w:tcW w:w="1350" w:type="dxa"/>
        </w:tcPr>
        <w:p w:rsidR="002C7E55" w:rsidRPr="008D6374" w:rsidRDefault="00AA67B1"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C7E55">
                <w:rPr>
                  <w:rStyle w:val="FooterChar"/>
                </w:rPr>
                <w:t>5</w:t>
              </w:r>
            </w:sdtContent>
          </w:sdt>
          <w:r w:rsidR="002C7E55" w:rsidRPr="008D6374">
            <w:t xml:space="preserve"> - </w:t>
          </w:r>
          <w:r w:rsidR="002C7E55" w:rsidRPr="008D6374">
            <w:fldChar w:fldCharType="begin"/>
          </w:r>
          <w:r w:rsidR="002C7E55" w:rsidRPr="008D6374">
            <w:instrText xml:space="preserve"> PAGE   \* MERGEFORMAT </w:instrText>
          </w:r>
          <w:r w:rsidR="002C7E55" w:rsidRPr="008D6374">
            <w:fldChar w:fldCharType="separate"/>
          </w:r>
          <w:r>
            <w:rPr>
              <w:noProof/>
            </w:rPr>
            <w:t>1</w:t>
          </w:r>
          <w:r w:rsidR="002C7E55" w:rsidRPr="008D6374">
            <w:fldChar w:fldCharType="end"/>
          </w:r>
        </w:p>
      </w:tc>
      <w:tc>
        <w:tcPr>
          <w:tcW w:w="4290" w:type="dxa"/>
        </w:tcPr>
        <w:p w:rsidR="002C7E55" w:rsidRPr="00540D85" w:rsidRDefault="00E92036" w:rsidP="007439A3">
          <w:pPr>
            <w:pStyle w:val="Footer"/>
            <w:jc w:val="right"/>
          </w:pPr>
          <w:r>
            <w:t>437-005-0001 (2)(e)</w:t>
          </w:r>
        </w:p>
      </w:tc>
    </w:tr>
  </w:tbl>
  <w:p w:rsidR="002C7E55" w:rsidRPr="00540D85" w:rsidRDefault="002C7E55"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92036" w:rsidRPr="00540D85" w:rsidTr="00FC4F7E">
      <w:trPr>
        <w:cantSplit/>
      </w:trPr>
      <w:tc>
        <w:tcPr>
          <w:tcW w:w="4289" w:type="dxa"/>
        </w:tcPr>
        <w:p w:rsidR="00E92036" w:rsidRPr="008D6374" w:rsidRDefault="00E92036" w:rsidP="00123A14">
          <w:pPr>
            <w:pStyle w:val="Footer"/>
          </w:pPr>
          <w:r>
            <w:t>437-005-0001 (6)(</w:t>
          </w:r>
          <w:r w:rsidR="00123A14">
            <w:t>k</w:t>
          </w:r>
          <w:r>
            <w:t>)</w:t>
          </w:r>
        </w:p>
      </w:tc>
      <w:tc>
        <w:tcPr>
          <w:tcW w:w="1350" w:type="dxa"/>
        </w:tcPr>
        <w:p w:rsidR="00E92036" w:rsidRPr="008D6374" w:rsidRDefault="00AA67B1" w:rsidP="00FC4F7E">
          <w:pPr>
            <w:pStyle w:val="Footer"/>
            <w:jc w:val="center"/>
          </w:pPr>
          <w:sdt>
            <w:sdtPr>
              <w:rPr>
                <w:rStyle w:val="FooterChar"/>
              </w:rPr>
              <w:alias w:val="Subdivision"/>
              <w:tag w:val=""/>
              <w:id w:val="-85966393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92036">
                <w:rPr>
                  <w:rStyle w:val="FooterChar"/>
                </w:rPr>
                <w:t>5</w:t>
              </w:r>
            </w:sdtContent>
          </w:sdt>
          <w:r w:rsidR="00E92036" w:rsidRPr="008D6374">
            <w:t xml:space="preserve"> - </w:t>
          </w:r>
          <w:r w:rsidR="00E92036" w:rsidRPr="008D6374">
            <w:fldChar w:fldCharType="begin"/>
          </w:r>
          <w:r w:rsidR="00E92036" w:rsidRPr="008D6374">
            <w:instrText xml:space="preserve"> PAGE   \* MERGEFORMAT </w:instrText>
          </w:r>
          <w:r w:rsidR="00E92036" w:rsidRPr="008D6374">
            <w:fldChar w:fldCharType="separate"/>
          </w:r>
          <w:r>
            <w:rPr>
              <w:noProof/>
            </w:rPr>
            <w:t>4</w:t>
          </w:r>
          <w:r w:rsidR="00E92036" w:rsidRPr="008D6374">
            <w:fldChar w:fldCharType="end"/>
          </w:r>
        </w:p>
      </w:tc>
      <w:tc>
        <w:tcPr>
          <w:tcW w:w="4290" w:type="dxa"/>
        </w:tcPr>
        <w:p w:rsidR="00E92036" w:rsidRPr="00540D85" w:rsidRDefault="00E92036" w:rsidP="00123A14">
          <w:pPr>
            <w:pStyle w:val="Footer"/>
            <w:jc w:val="right"/>
          </w:pPr>
          <w:r>
            <w:t>437-005-0001 (8)(</w:t>
          </w:r>
          <w:r w:rsidR="00123A14">
            <w:t>c</w:t>
          </w:r>
          <w:r>
            <w:t>)</w:t>
          </w:r>
        </w:p>
      </w:tc>
    </w:tr>
  </w:tbl>
  <w:p w:rsidR="00E92036" w:rsidRDefault="00E92036"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92036" w:rsidRPr="00540D85" w:rsidTr="00FC4F7E">
      <w:trPr>
        <w:cantSplit/>
      </w:trPr>
      <w:tc>
        <w:tcPr>
          <w:tcW w:w="4289" w:type="dxa"/>
        </w:tcPr>
        <w:p w:rsidR="00E92036" w:rsidRPr="008D6374" w:rsidRDefault="00E92036" w:rsidP="00123A14">
          <w:pPr>
            <w:pStyle w:val="Footer"/>
          </w:pPr>
          <w:r>
            <w:t>437-005-0001 (8)(</w:t>
          </w:r>
          <w:r w:rsidR="00123A14">
            <w:t>d</w:t>
          </w:r>
          <w:r>
            <w:t>)</w:t>
          </w:r>
        </w:p>
      </w:tc>
      <w:tc>
        <w:tcPr>
          <w:tcW w:w="1350" w:type="dxa"/>
        </w:tcPr>
        <w:p w:rsidR="00E92036" w:rsidRPr="008D6374" w:rsidRDefault="00AA67B1" w:rsidP="00FC4F7E">
          <w:pPr>
            <w:pStyle w:val="Footer"/>
            <w:jc w:val="center"/>
          </w:pPr>
          <w:sdt>
            <w:sdtPr>
              <w:rPr>
                <w:rStyle w:val="FooterChar"/>
              </w:rPr>
              <w:alias w:val="Subdivision"/>
              <w:tag w:val=""/>
              <w:id w:val="48891868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92036">
                <w:rPr>
                  <w:rStyle w:val="FooterChar"/>
                </w:rPr>
                <w:t>5</w:t>
              </w:r>
            </w:sdtContent>
          </w:sdt>
          <w:r w:rsidR="00E92036" w:rsidRPr="008D6374">
            <w:t xml:space="preserve"> - </w:t>
          </w:r>
          <w:r w:rsidR="00E92036" w:rsidRPr="008D6374">
            <w:fldChar w:fldCharType="begin"/>
          </w:r>
          <w:r w:rsidR="00E92036" w:rsidRPr="008D6374">
            <w:instrText xml:space="preserve"> PAGE   \* MERGEFORMAT </w:instrText>
          </w:r>
          <w:r w:rsidR="00E92036" w:rsidRPr="008D6374">
            <w:fldChar w:fldCharType="separate"/>
          </w:r>
          <w:r>
            <w:rPr>
              <w:noProof/>
            </w:rPr>
            <w:t>5</w:t>
          </w:r>
          <w:r w:rsidR="00E92036" w:rsidRPr="008D6374">
            <w:fldChar w:fldCharType="end"/>
          </w:r>
        </w:p>
      </w:tc>
      <w:tc>
        <w:tcPr>
          <w:tcW w:w="4290" w:type="dxa"/>
        </w:tcPr>
        <w:p w:rsidR="00E92036" w:rsidRPr="00540D85" w:rsidRDefault="00E92036" w:rsidP="00123A14">
          <w:pPr>
            <w:pStyle w:val="Footer"/>
            <w:jc w:val="right"/>
          </w:pPr>
          <w:r>
            <w:t>437-005-0001 (10)(</w:t>
          </w:r>
          <w:r w:rsidR="00123A14">
            <w:t>a</w:t>
          </w:r>
          <w:r>
            <w:t>)</w:t>
          </w:r>
        </w:p>
      </w:tc>
    </w:tr>
  </w:tbl>
  <w:p w:rsidR="00E92036" w:rsidRDefault="00E92036"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92036" w:rsidRPr="00540D85" w:rsidTr="00FC4F7E">
      <w:trPr>
        <w:cantSplit/>
      </w:trPr>
      <w:tc>
        <w:tcPr>
          <w:tcW w:w="4289" w:type="dxa"/>
        </w:tcPr>
        <w:p w:rsidR="00E92036" w:rsidRPr="008D6374" w:rsidRDefault="00E92036" w:rsidP="00123A14">
          <w:pPr>
            <w:pStyle w:val="Footer"/>
          </w:pPr>
          <w:r>
            <w:t>437-005-0001 (10)(</w:t>
          </w:r>
          <w:r w:rsidR="00123A14">
            <w:t>b</w:t>
          </w:r>
          <w:r>
            <w:t>)</w:t>
          </w:r>
        </w:p>
      </w:tc>
      <w:tc>
        <w:tcPr>
          <w:tcW w:w="1350" w:type="dxa"/>
        </w:tcPr>
        <w:p w:rsidR="00E92036" w:rsidRPr="008D6374" w:rsidRDefault="00AA67B1" w:rsidP="00FC4F7E">
          <w:pPr>
            <w:pStyle w:val="Footer"/>
            <w:jc w:val="center"/>
          </w:pPr>
          <w:sdt>
            <w:sdtPr>
              <w:rPr>
                <w:rStyle w:val="FooterChar"/>
              </w:rPr>
              <w:alias w:val="Subdivision"/>
              <w:tag w:val=""/>
              <w:id w:val="134644608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92036">
                <w:rPr>
                  <w:rStyle w:val="FooterChar"/>
                </w:rPr>
                <w:t>5</w:t>
              </w:r>
            </w:sdtContent>
          </w:sdt>
          <w:r w:rsidR="00E92036" w:rsidRPr="008D6374">
            <w:t xml:space="preserve"> - </w:t>
          </w:r>
          <w:r w:rsidR="00E92036" w:rsidRPr="008D6374">
            <w:fldChar w:fldCharType="begin"/>
          </w:r>
          <w:r w:rsidR="00E92036" w:rsidRPr="008D6374">
            <w:instrText xml:space="preserve"> PAGE   \* MERGEFORMAT </w:instrText>
          </w:r>
          <w:r w:rsidR="00E92036" w:rsidRPr="008D6374">
            <w:fldChar w:fldCharType="separate"/>
          </w:r>
          <w:r>
            <w:rPr>
              <w:noProof/>
            </w:rPr>
            <w:t>6</w:t>
          </w:r>
          <w:r w:rsidR="00E92036" w:rsidRPr="008D6374">
            <w:fldChar w:fldCharType="end"/>
          </w:r>
        </w:p>
      </w:tc>
      <w:tc>
        <w:tcPr>
          <w:tcW w:w="4290" w:type="dxa"/>
        </w:tcPr>
        <w:p w:rsidR="00E92036" w:rsidRPr="00540D85" w:rsidRDefault="00E92036" w:rsidP="00123A14">
          <w:pPr>
            <w:pStyle w:val="Footer"/>
            <w:jc w:val="right"/>
          </w:pPr>
          <w:r>
            <w:t>437-005-0001 (14)(</w:t>
          </w:r>
          <w:r w:rsidR="00123A14">
            <w:t>g</w:t>
          </w:r>
          <w:r>
            <w:t>)</w:t>
          </w:r>
        </w:p>
      </w:tc>
    </w:tr>
  </w:tbl>
  <w:p w:rsidR="00E92036" w:rsidRDefault="00E92036"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92036" w:rsidRPr="00540D85" w:rsidTr="00FC4F7E">
      <w:trPr>
        <w:cantSplit/>
      </w:trPr>
      <w:tc>
        <w:tcPr>
          <w:tcW w:w="4289" w:type="dxa"/>
        </w:tcPr>
        <w:p w:rsidR="00E92036" w:rsidRPr="008D6374" w:rsidRDefault="00E92036" w:rsidP="00123A14">
          <w:pPr>
            <w:pStyle w:val="Footer"/>
          </w:pPr>
          <w:r>
            <w:t>437-005-0001 (14)(</w:t>
          </w:r>
          <w:r w:rsidR="00123A14">
            <w:t>h</w:t>
          </w:r>
          <w:r>
            <w:t>)</w:t>
          </w:r>
        </w:p>
      </w:tc>
      <w:tc>
        <w:tcPr>
          <w:tcW w:w="1350" w:type="dxa"/>
        </w:tcPr>
        <w:p w:rsidR="00E92036" w:rsidRPr="008D6374" w:rsidRDefault="00AA67B1" w:rsidP="00FC4F7E">
          <w:pPr>
            <w:pStyle w:val="Footer"/>
            <w:jc w:val="center"/>
          </w:pPr>
          <w:sdt>
            <w:sdtPr>
              <w:rPr>
                <w:rStyle w:val="FooterChar"/>
              </w:rPr>
              <w:alias w:val="Subdivision"/>
              <w:tag w:val=""/>
              <w:id w:val="-9635710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92036">
                <w:rPr>
                  <w:rStyle w:val="FooterChar"/>
                </w:rPr>
                <w:t>5</w:t>
              </w:r>
            </w:sdtContent>
          </w:sdt>
          <w:r w:rsidR="00E92036" w:rsidRPr="008D6374">
            <w:t xml:space="preserve"> - </w:t>
          </w:r>
          <w:r w:rsidR="00E92036" w:rsidRPr="008D6374">
            <w:fldChar w:fldCharType="begin"/>
          </w:r>
          <w:r w:rsidR="00E92036" w:rsidRPr="008D6374">
            <w:instrText xml:space="preserve"> PAGE   \* MERGEFORMAT </w:instrText>
          </w:r>
          <w:r w:rsidR="00E92036" w:rsidRPr="008D6374">
            <w:fldChar w:fldCharType="separate"/>
          </w:r>
          <w:r>
            <w:rPr>
              <w:noProof/>
            </w:rPr>
            <w:t>7</w:t>
          </w:r>
          <w:r w:rsidR="00E92036" w:rsidRPr="008D6374">
            <w:fldChar w:fldCharType="end"/>
          </w:r>
        </w:p>
      </w:tc>
      <w:tc>
        <w:tcPr>
          <w:tcW w:w="4290" w:type="dxa"/>
        </w:tcPr>
        <w:p w:rsidR="00E92036" w:rsidRPr="00540D85" w:rsidRDefault="00E92036" w:rsidP="00123A14">
          <w:pPr>
            <w:pStyle w:val="Footer"/>
            <w:jc w:val="right"/>
          </w:pPr>
          <w:r>
            <w:t>437-005-0001 (16)(</w:t>
          </w:r>
          <w:r w:rsidR="00123A14">
            <w:t>d</w:t>
          </w:r>
          <w:r>
            <w:t>)</w:t>
          </w:r>
        </w:p>
      </w:tc>
    </w:tr>
  </w:tbl>
  <w:p w:rsidR="00E92036" w:rsidRDefault="00E92036" w:rsidP="005E66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E55" w:rsidRDefault="002C7E55">
      <w:r>
        <w:separator/>
      </w:r>
    </w:p>
    <w:p w:rsidR="002C7E55" w:rsidRDefault="002C7E55"/>
  </w:footnote>
  <w:footnote w:type="continuationSeparator" w:id="0">
    <w:p w:rsidR="002C7E55" w:rsidRDefault="002C7E55">
      <w:r>
        <w:continuationSeparator/>
      </w:r>
    </w:p>
    <w:p w:rsidR="002C7E55" w:rsidRDefault="002C7E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877106" w:rsidTr="0026151E">
      <w:trPr>
        <w:cantSplit/>
      </w:trPr>
      <w:tc>
        <w:tcPr>
          <w:tcW w:w="8730" w:type="dxa"/>
          <w:gridSpan w:val="3"/>
          <w:vAlign w:val="center"/>
        </w:tcPr>
        <w:p w:rsidR="00877106" w:rsidRPr="00B66A96" w:rsidRDefault="00AA67B1"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77106">
                <w:rPr>
                  <w:rStyle w:val="HeaderChar"/>
                </w:rPr>
                <w:t>Maritime Activities</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877106" w:rsidRPr="00D36179" w:rsidRDefault="00877106" w:rsidP="0026151E">
              <w:pPr>
                <w:pStyle w:val="Header"/>
                <w:jc w:val="right"/>
                <w:rPr>
                  <w:rStyle w:val="Headerlarge"/>
                </w:rPr>
              </w:pPr>
              <w:r>
                <w:rPr>
                  <w:rStyle w:val="Headerlarge"/>
                </w:rPr>
                <w:t>5</w:t>
              </w:r>
            </w:p>
          </w:sdtContent>
        </w:sdt>
      </w:tc>
    </w:tr>
    <w:tr w:rsidR="00877106" w:rsidRPr="00121E2A" w:rsidTr="0026151E">
      <w:trPr>
        <w:cantSplit/>
      </w:trPr>
      <w:tc>
        <w:tcPr>
          <w:tcW w:w="4176" w:type="dxa"/>
          <w:tcBorders>
            <w:top w:val="single" w:sz="12" w:space="0" w:color="808080" w:themeColor="background1" w:themeShade="80"/>
            <w:bottom w:val="nil"/>
            <w:right w:val="nil"/>
          </w:tcBorders>
          <w:noWrap/>
          <w:vAlign w:val="center"/>
        </w:tcPr>
        <w:p w:rsidR="00877106" w:rsidRPr="00EF3370" w:rsidRDefault="00AA67B1"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77106"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877106" w:rsidRPr="00EF3370" w:rsidRDefault="00AA67B1"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77106"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877106" w:rsidRPr="00EF3370" w:rsidRDefault="00877106"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073539733"/>
              <w:placeholder>
                <w:docPart w:val="24431239EE8B4F8CBA0E035901B35D58"/>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Pr="00877106">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877106" w:rsidRPr="00EF3370" w:rsidRDefault="00AA67B1"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77106">
                <w:rPr>
                  <w:rStyle w:val="Headertiny"/>
                </w:rPr>
                <w:t>Division 5</w:t>
              </w:r>
            </w:sdtContent>
          </w:sdt>
        </w:p>
      </w:tc>
    </w:tr>
  </w:tbl>
  <w:p w:rsidR="00877106" w:rsidRDefault="00877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877106" w:rsidTr="0026151E">
      <w:trPr>
        <w:cantSplit/>
      </w:trPr>
      <w:tc>
        <w:tcPr>
          <w:tcW w:w="8730" w:type="dxa"/>
          <w:gridSpan w:val="3"/>
          <w:vAlign w:val="center"/>
        </w:tcPr>
        <w:p w:rsidR="00877106" w:rsidRPr="00B66A96" w:rsidRDefault="00AA67B1" w:rsidP="0026151E">
          <w:pPr>
            <w:pStyle w:val="Header"/>
          </w:pPr>
          <w:sdt>
            <w:sdtPr>
              <w:rPr>
                <w:rStyle w:val="HeaderChar"/>
              </w:rPr>
              <w:alias w:val="Title"/>
              <w:tag w:val=""/>
              <w:id w:val="119619703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77106">
                <w:rPr>
                  <w:rStyle w:val="HeaderChar"/>
                </w:rPr>
                <w:t>Maritime Activities</w:t>
              </w:r>
            </w:sdtContent>
          </w:sdt>
        </w:p>
      </w:tc>
      <w:tc>
        <w:tcPr>
          <w:tcW w:w="1310" w:type="dxa"/>
          <w:noWrap/>
          <w:vAlign w:val="center"/>
        </w:tcPr>
        <w:sdt>
          <w:sdtPr>
            <w:rPr>
              <w:rStyle w:val="Headerlarge"/>
            </w:rPr>
            <w:alias w:val="Subdivision"/>
            <w:tag w:val=""/>
            <w:id w:val="155612088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877106" w:rsidRPr="00D36179" w:rsidRDefault="00877106" w:rsidP="0026151E">
              <w:pPr>
                <w:pStyle w:val="Header"/>
                <w:jc w:val="right"/>
                <w:rPr>
                  <w:rStyle w:val="Headerlarge"/>
                </w:rPr>
              </w:pPr>
              <w:r>
                <w:rPr>
                  <w:rStyle w:val="Headerlarge"/>
                </w:rPr>
                <w:t>5</w:t>
              </w:r>
            </w:p>
          </w:sdtContent>
        </w:sdt>
      </w:tc>
    </w:tr>
    <w:tr w:rsidR="00877106" w:rsidRPr="00121E2A" w:rsidTr="0026151E">
      <w:trPr>
        <w:cantSplit/>
      </w:trPr>
      <w:tc>
        <w:tcPr>
          <w:tcW w:w="4176" w:type="dxa"/>
          <w:tcBorders>
            <w:top w:val="single" w:sz="12" w:space="0" w:color="808080" w:themeColor="background1" w:themeShade="80"/>
            <w:bottom w:val="nil"/>
            <w:right w:val="nil"/>
          </w:tcBorders>
          <w:noWrap/>
          <w:vAlign w:val="center"/>
        </w:tcPr>
        <w:p w:rsidR="00877106" w:rsidRPr="00EF3370" w:rsidRDefault="00AA67B1" w:rsidP="0026151E">
          <w:pPr>
            <w:pStyle w:val="Header"/>
            <w:rPr>
              <w:rStyle w:val="Headertiny"/>
            </w:rPr>
          </w:pPr>
          <w:sdt>
            <w:sdtPr>
              <w:rPr>
                <w:rStyle w:val="Headertiny"/>
              </w:rPr>
              <w:alias w:val="Company"/>
              <w:tag w:val=""/>
              <w:id w:val="19843890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77106"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877106" w:rsidRPr="00EF3370" w:rsidRDefault="00AA67B1" w:rsidP="0026151E">
          <w:pPr>
            <w:pStyle w:val="Header"/>
            <w:jc w:val="center"/>
            <w:rPr>
              <w:rStyle w:val="Headertiny"/>
            </w:rPr>
          </w:pPr>
          <w:sdt>
            <w:sdtPr>
              <w:rPr>
                <w:rStyle w:val="Headertiny"/>
              </w:rPr>
              <w:alias w:val="Category"/>
              <w:tag w:val=""/>
              <w:id w:val="70252221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77106"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877106" w:rsidRPr="00EF3370" w:rsidRDefault="00877106"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380476165"/>
              <w:placeholder>
                <w:docPart w:val="A809AF7E639143599EDCFED7D16C7D63"/>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Pr="00877106">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877106" w:rsidRPr="00EF3370" w:rsidRDefault="00AA67B1" w:rsidP="0026151E">
          <w:pPr>
            <w:pStyle w:val="Header"/>
            <w:jc w:val="right"/>
            <w:rPr>
              <w:rStyle w:val="Headertiny"/>
            </w:rPr>
          </w:pPr>
          <w:sdt>
            <w:sdtPr>
              <w:rPr>
                <w:rStyle w:val="Headertiny"/>
              </w:rPr>
              <w:alias w:val="Division"/>
              <w:tag w:val=""/>
              <w:id w:val="-38086390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77106">
                <w:rPr>
                  <w:rStyle w:val="Headertiny"/>
                </w:rPr>
                <w:t>Division 5</w:t>
              </w:r>
            </w:sdtContent>
          </w:sdt>
        </w:p>
      </w:tc>
    </w:tr>
  </w:tbl>
  <w:p w:rsidR="00877106" w:rsidRDefault="00877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2C7E55" w:rsidTr="00123A14">
      <w:trPr>
        <w:cantSplit/>
        <w:jc w:val="center"/>
      </w:trPr>
      <w:tc>
        <w:tcPr>
          <w:tcW w:w="8945" w:type="dxa"/>
          <w:vAlign w:val="center"/>
        </w:tcPr>
        <w:p w:rsidR="002C7E55" w:rsidRPr="00B66A96" w:rsidRDefault="00AA67B1" w:rsidP="00123A14">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C7E55">
                <w:rPr>
                  <w:rStyle w:val="HeaderChar"/>
                </w:rPr>
                <w:t>Maritime Activities</w:t>
              </w:r>
            </w:sdtContent>
          </w:sdt>
          <w:r w:rsidR="002C7E55">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C7E55" w:rsidRPr="00D36179" w:rsidRDefault="002C7E55" w:rsidP="00123A14">
              <w:pPr>
                <w:pStyle w:val="Header"/>
                <w:jc w:val="right"/>
                <w:rPr>
                  <w:rStyle w:val="Headerlarge"/>
                </w:rPr>
              </w:pPr>
              <w:r>
                <w:rPr>
                  <w:rStyle w:val="Headerlarge"/>
                </w:rPr>
                <w:t>5</w:t>
              </w:r>
            </w:p>
          </w:sdtContent>
        </w:sdt>
      </w:tc>
    </w:tr>
    <w:tr w:rsidR="002C7E55" w:rsidRPr="00121E2A" w:rsidTr="00123A14">
      <w:trPr>
        <w:cantSplit/>
        <w:jc w:val="center"/>
      </w:trPr>
      <w:tc>
        <w:tcPr>
          <w:tcW w:w="10296" w:type="dxa"/>
          <w:gridSpan w:val="2"/>
          <w:noWrap/>
        </w:tcPr>
        <w:p w:rsidR="002C7E55" w:rsidRPr="00EF3370" w:rsidRDefault="002C7E55" w:rsidP="00123A14">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5</w:t>
              </w:r>
            </w:sdtContent>
          </w:sdt>
          <w:r w:rsidRPr="00EF3370">
            <w:rPr>
              <w:rStyle w:val="Headertiny"/>
            </w:rPr>
            <w:t xml:space="preserve">  </w:t>
          </w:r>
        </w:p>
      </w:tc>
    </w:tr>
  </w:tbl>
  <w:p w:rsidR="002C7E55" w:rsidRPr="00B66A96" w:rsidRDefault="002C7E55" w:rsidP="00123A14">
    <w:pPr>
      <w:pStyle w:val="Header"/>
      <w:tabs>
        <w:tab w:val="left" w:pos="417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mirrorMargins/>
  <w:hideGrammaticalError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F1"/>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3A14"/>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06E2"/>
    <w:rsid w:val="002B1A48"/>
    <w:rsid w:val="002B1B5A"/>
    <w:rsid w:val="002B51EA"/>
    <w:rsid w:val="002B57E0"/>
    <w:rsid w:val="002B5BCB"/>
    <w:rsid w:val="002B7FA4"/>
    <w:rsid w:val="002C7E55"/>
    <w:rsid w:val="002D661C"/>
    <w:rsid w:val="002D6B44"/>
    <w:rsid w:val="002D7F88"/>
    <w:rsid w:val="002E0AC2"/>
    <w:rsid w:val="002E39D7"/>
    <w:rsid w:val="002F43CD"/>
    <w:rsid w:val="002F4E30"/>
    <w:rsid w:val="00301748"/>
    <w:rsid w:val="003033C0"/>
    <w:rsid w:val="00303AFB"/>
    <w:rsid w:val="00304A86"/>
    <w:rsid w:val="003064F4"/>
    <w:rsid w:val="00307870"/>
    <w:rsid w:val="003127C5"/>
    <w:rsid w:val="00312F24"/>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E27"/>
    <w:rsid w:val="003857EA"/>
    <w:rsid w:val="00395A5B"/>
    <w:rsid w:val="003A1FD3"/>
    <w:rsid w:val="003A3BEE"/>
    <w:rsid w:val="003A3F43"/>
    <w:rsid w:val="003A4A82"/>
    <w:rsid w:val="003A7563"/>
    <w:rsid w:val="003A76F4"/>
    <w:rsid w:val="003B0514"/>
    <w:rsid w:val="003B1997"/>
    <w:rsid w:val="003B2D51"/>
    <w:rsid w:val="003B61E7"/>
    <w:rsid w:val="003B69A4"/>
    <w:rsid w:val="003B7636"/>
    <w:rsid w:val="003C1E92"/>
    <w:rsid w:val="003C26B5"/>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7793"/>
    <w:rsid w:val="00581024"/>
    <w:rsid w:val="00585519"/>
    <w:rsid w:val="005900CE"/>
    <w:rsid w:val="00590865"/>
    <w:rsid w:val="00591621"/>
    <w:rsid w:val="00596A1C"/>
    <w:rsid w:val="005976ED"/>
    <w:rsid w:val="005A1EFB"/>
    <w:rsid w:val="005A4823"/>
    <w:rsid w:val="005A4EDB"/>
    <w:rsid w:val="005A573C"/>
    <w:rsid w:val="005B05CF"/>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5C9"/>
    <w:rsid w:val="007C2D0E"/>
    <w:rsid w:val="007D7EDC"/>
    <w:rsid w:val="007E24C2"/>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106"/>
    <w:rsid w:val="008774F4"/>
    <w:rsid w:val="00880682"/>
    <w:rsid w:val="008826F4"/>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8F6E98"/>
    <w:rsid w:val="00901BA9"/>
    <w:rsid w:val="0090284B"/>
    <w:rsid w:val="009052B1"/>
    <w:rsid w:val="009132A0"/>
    <w:rsid w:val="00914450"/>
    <w:rsid w:val="00916601"/>
    <w:rsid w:val="00917CA4"/>
    <w:rsid w:val="00921D91"/>
    <w:rsid w:val="009222AA"/>
    <w:rsid w:val="009226BC"/>
    <w:rsid w:val="0092315B"/>
    <w:rsid w:val="00923B5F"/>
    <w:rsid w:val="0092599E"/>
    <w:rsid w:val="00927412"/>
    <w:rsid w:val="00932674"/>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6127D"/>
    <w:rsid w:val="00A61E00"/>
    <w:rsid w:val="00A72021"/>
    <w:rsid w:val="00A75E02"/>
    <w:rsid w:val="00A82667"/>
    <w:rsid w:val="00A86007"/>
    <w:rsid w:val="00A919DE"/>
    <w:rsid w:val="00A91EEF"/>
    <w:rsid w:val="00A94367"/>
    <w:rsid w:val="00A944B5"/>
    <w:rsid w:val="00A97DBB"/>
    <w:rsid w:val="00AA1A4C"/>
    <w:rsid w:val="00AA267A"/>
    <w:rsid w:val="00AA53D4"/>
    <w:rsid w:val="00AA67B1"/>
    <w:rsid w:val="00AA7936"/>
    <w:rsid w:val="00AA7F69"/>
    <w:rsid w:val="00AB134A"/>
    <w:rsid w:val="00AB7D94"/>
    <w:rsid w:val="00AC330E"/>
    <w:rsid w:val="00AC507B"/>
    <w:rsid w:val="00AC58A1"/>
    <w:rsid w:val="00AC6991"/>
    <w:rsid w:val="00AC6FF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420A"/>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998"/>
    <w:rsid w:val="00D256C1"/>
    <w:rsid w:val="00D25D23"/>
    <w:rsid w:val="00D279CB"/>
    <w:rsid w:val="00D27C0B"/>
    <w:rsid w:val="00D318E8"/>
    <w:rsid w:val="00D331E3"/>
    <w:rsid w:val="00D36179"/>
    <w:rsid w:val="00D36DF9"/>
    <w:rsid w:val="00D3721D"/>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41A3"/>
    <w:rsid w:val="00E06208"/>
    <w:rsid w:val="00E146C5"/>
    <w:rsid w:val="00E1692B"/>
    <w:rsid w:val="00E20BA5"/>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2036"/>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E4E9EB39-2155-4C46-B318-16A2ED1B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A1"/>
    <w:pPr>
      <w:keepLines/>
      <w:spacing w:after="160"/>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hyperlink" Target="https://osha.oregon.gov/" TargetMode="External"/><Relationship Id="rId19" Type="http://schemas.openxmlformats.org/officeDocument/2006/relationships/footer" Target="footer6.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glossaryDocument" Target="glossary/document.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3DBEF2BC2E432B970F281E0F141A86"/>
        <w:category>
          <w:name w:val="General"/>
          <w:gallery w:val="placeholder"/>
        </w:category>
        <w:types>
          <w:type w:val="bbPlcHdr"/>
        </w:types>
        <w:behaviors>
          <w:behavior w:val="content"/>
        </w:behaviors>
        <w:guid w:val="{B8B31D71-6625-4195-AB13-3A8D4478C683}"/>
      </w:docPartPr>
      <w:docPartBody>
        <w:p w:rsidR="005B3F00" w:rsidRDefault="005B3F00">
          <w:pPr>
            <w:pStyle w:val="E73DBEF2BC2E432B970F281E0F141A86"/>
          </w:pPr>
          <w:r w:rsidRPr="00B40F01">
            <w:rPr>
              <w:rStyle w:val="PlaceholderText"/>
            </w:rPr>
            <w:t>[Subject]</w:t>
          </w:r>
        </w:p>
      </w:docPartBody>
    </w:docPart>
    <w:docPart>
      <w:docPartPr>
        <w:name w:val="A95C02A2EE0B464B8B33536FD18583CE"/>
        <w:category>
          <w:name w:val="General"/>
          <w:gallery w:val="placeholder"/>
        </w:category>
        <w:types>
          <w:type w:val="bbPlcHdr"/>
        </w:types>
        <w:behaviors>
          <w:behavior w:val="content"/>
        </w:behaviors>
        <w:guid w:val="{62B2D0C0-6B4D-4D8A-975D-D0F1C9FC0086}"/>
      </w:docPartPr>
      <w:docPartBody>
        <w:p w:rsidR="005B3F00" w:rsidRDefault="005B3F00">
          <w:pPr>
            <w:pStyle w:val="A95C02A2EE0B464B8B33536FD18583CE"/>
          </w:pPr>
          <w:r w:rsidRPr="00575648">
            <w:rPr>
              <w:rStyle w:val="PlaceholderText"/>
              <w:rFonts w:eastAsiaTheme="majorEastAsia"/>
            </w:rPr>
            <w:t>Choose an item.</w:t>
          </w:r>
        </w:p>
      </w:docPartBody>
    </w:docPart>
    <w:docPart>
      <w:docPartPr>
        <w:name w:val="E5E8A35E24B244A3A33515FD19D62827"/>
        <w:category>
          <w:name w:val="General"/>
          <w:gallery w:val="placeholder"/>
        </w:category>
        <w:types>
          <w:type w:val="bbPlcHdr"/>
        </w:types>
        <w:behaviors>
          <w:behavior w:val="content"/>
        </w:behaviors>
        <w:guid w:val="{E61C58F1-5C0F-46C6-BD41-F3A410CD9F66}"/>
      </w:docPartPr>
      <w:docPartBody>
        <w:p w:rsidR="005B3F00" w:rsidRDefault="005B3F00">
          <w:pPr>
            <w:pStyle w:val="E5E8A35E24B244A3A33515FD19D62827"/>
          </w:pPr>
          <w:r w:rsidRPr="00B40F01">
            <w:rPr>
              <w:rStyle w:val="PlaceholderText"/>
            </w:rPr>
            <w:t>[Title]</w:t>
          </w:r>
        </w:p>
      </w:docPartBody>
    </w:docPart>
    <w:docPart>
      <w:docPartPr>
        <w:name w:val="E4BDB7EAB5284B57938D5F22DA7D4F5F"/>
        <w:category>
          <w:name w:val="General"/>
          <w:gallery w:val="placeholder"/>
        </w:category>
        <w:types>
          <w:type w:val="bbPlcHdr"/>
        </w:types>
        <w:behaviors>
          <w:behavior w:val="content"/>
        </w:behaviors>
        <w:guid w:val="{FB7EF871-58FC-490E-BFC5-3D11BE4F008C}"/>
      </w:docPartPr>
      <w:docPartBody>
        <w:p w:rsidR="005B3F00" w:rsidRDefault="005B3F00">
          <w:pPr>
            <w:pStyle w:val="E4BDB7EAB5284B57938D5F22DA7D4F5F"/>
          </w:pPr>
          <w:r w:rsidRPr="00505672">
            <w:rPr>
              <w:rStyle w:val="PlaceholderText"/>
            </w:rPr>
            <w:t>[Keywords]</w:t>
          </w:r>
        </w:p>
      </w:docPartBody>
    </w:docPart>
    <w:docPart>
      <w:docPartPr>
        <w:name w:val="442BCEBAAA3642BDBEA97EC40DA1E6DF"/>
        <w:category>
          <w:name w:val="General"/>
          <w:gallery w:val="placeholder"/>
        </w:category>
        <w:types>
          <w:type w:val="bbPlcHdr"/>
        </w:types>
        <w:behaviors>
          <w:behavior w:val="content"/>
        </w:behaviors>
        <w:guid w:val="{4AF50AE7-188C-43C9-8233-9FBE1F3DE93B}"/>
      </w:docPartPr>
      <w:docPartBody>
        <w:p w:rsidR="005B3F00" w:rsidRDefault="005B3F00">
          <w:pPr>
            <w:pStyle w:val="442BCEBAAA3642BDBEA97EC40DA1E6DF"/>
          </w:pPr>
          <w:r w:rsidRPr="000202CD">
            <w:rPr>
              <w:sz w:val="28"/>
            </w:rPr>
            <w:t>Administrative Order 1-2015</w:t>
          </w:r>
        </w:p>
      </w:docPartBody>
    </w:docPart>
    <w:docPart>
      <w:docPartPr>
        <w:name w:val="24431239EE8B4F8CBA0E035901B35D58"/>
        <w:category>
          <w:name w:val="General"/>
          <w:gallery w:val="placeholder"/>
        </w:category>
        <w:types>
          <w:type w:val="bbPlcHdr"/>
        </w:types>
        <w:behaviors>
          <w:behavior w:val="content"/>
        </w:behaviors>
        <w:guid w:val="{83661F59-472E-4418-B0AB-D75F05E179AC}"/>
      </w:docPartPr>
      <w:docPartBody>
        <w:p w:rsidR="00C75072" w:rsidRDefault="00886BDD" w:rsidP="00886BDD">
          <w:pPr>
            <w:pStyle w:val="24431239EE8B4F8CBA0E035901B35D58"/>
          </w:pPr>
          <w:r w:rsidRPr="000202CD">
            <w:rPr>
              <w:sz w:val="28"/>
            </w:rPr>
            <w:t>Administrative Order 1-2015</w:t>
          </w:r>
        </w:p>
      </w:docPartBody>
    </w:docPart>
    <w:docPart>
      <w:docPartPr>
        <w:name w:val="A809AF7E639143599EDCFED7D16C7D63"/>
        <w:category>
          <w:name w:val="General"/>
          <w:gallery w:val="placeholder"/>
        </w:category>
        <w:types>
          <w:type w:val="bbPlcHdr"/>
        </w:types>
        <w:behaviors>
          <w:behavior w:val="content"/>
        </w:behaviors>
        <w:guid w:val="{25AEC2CC-36D5-42F2-A94C-96925C5F9BF6}"/>
      </w:docPartPr>
      <w:docPartBody>
        <w:p w:rsidR="00C75072" w:rsidRDefault="00886BDD" w:rsidP="00886BDD">
          <w:pPr>
            <w:pStyle w:val="A809AF7E639143599EDCFED7D16C7D63"/>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00"/>
    <w:rsid w:val="005B3F00"/>
    <w:rsid w:val="00886BDD"/>
    <w:rsid w:val="00C7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73DBEF2BC2E432B970F281E0F141A86">
    <w:name w:val="E73DBEF2BC2E432B970F281E0F141A86"/>
  </w:style>
  <w:style w:type="paragraph" w:customStyle="1" w:styleId="A95C02A2EE0B464B8B33536FD18583CE">
    <w:name w:val="A95C02A2EE0B464B8B33536FD18583CE"/>
  </w:style>
  <w:style w:type="paragraph" w:customStyle="1" w:styleId="E5E8A35E24B244A3A33515FD19D62827">
    <w:name w:val="E5E8A35E24B244A3A33515FD19D62827"/>
  </w:style>
  <w:style w:type="paragraph" w:customStyle="1" w:styleId="E4BDB7EAB5284B57938D5F22DA7D4F5F">
    <w:name w:val="E4BDB7EAB5284B57938D5F22DA7D4F5F"/>
  </w:style>
  <w:style w:type="paragraph" w:customStyle="1" w:styleId="442BCEBAAA3642BDBEA97EC40DA1E6DF">
    <w:name w:val="442BCEBAAA3642BDBEA97EC40DA1E6DF"/>
  </w:style>
  <w:style w:type="paragraph" w:customStyle="1" w:styleId="29C9816D2E1646F4B6E492E041A7572B">
    <w:name w:val="29C9816D2E1646F4B6E492E041A7572B"/>
  </w:style>
  <w:style w:type="paragraph" w:customStyle="1" w:styleId="8BD9DAB88A514C32AD8E56B9C3B686AB">
    <w:name w:val="8BD9DAB88A514C32AD8E56B9C3B686AB"/>
  </w:style>
  <w:style w:type="paragraph" w:customStyle="1" w:styleId="2364BA8478B543FCB93CA8E38D463FAF">
    <w:name w:val="2364BA8478B543FCB93CA8E38D463FAF"/>
  </w:style>
  <w:style w:type="paragraph" w:customStyle="1" w:styleId="D27FC312BA8C404AA9B1931BC288FD78">
    <w:name w:val="D27FC312BA8C404AA9B1931BC288FD78"/>
  </w:style>
  <w:style w:type="paragraph" w:customStyle="1" w:styleId="9A0615D8563A476D926333C5605DEA12">
    <w:name w:val="9A0615D8563A476D926333C5605DEA12"/>
    <w:rsid w:val="005B3F00"/>
  </w:style>
  <w:style w:type="paragraph" w:customStyle="1" w:styleId="998EBFAD60694262AE78D7EE92F0FECF">
    <w:name w:val="998EBFAD60694262AE78D7EE92F0FECF"/>
    <w:rsid w:val="005B3F00"/>
  </w:style>
  <w:style w:type="paragraph" w:customStyle="1" w:styleId="900185AE36DC47C796F23B1D00090736">
    <w:name w:val="900185AE36DC47C796F23B1D00090736"/>
    <w:rsid w:val="005B3F00"/>
  </w:style>
  <w:style w:type="paragraph" w:customStyle="1" w:styleId="C45F0E2628504C35A7393788D56ACF58">
    <w:name w:val="C45F0E2628504C35A7393788D56ACF58"/>
    <w:rsid w:val="005B3F00"/>
  </w:style>
  <w:style w:type="paragraph" w:customStyle="1" w:styleId="86BFDD7CB7F542C5A8A47915D3449D92">
    <w:name w:val="86BFDD7CB7F542C5A8A47915D3449D92"/>
    <w:rsid w:val="00886BDD"/>
  </w:style>
  <w:style w:type="paragraph" w:customStyle="1" w:styleId="2E1A59EBC8E04902B483676D225F855C">
    <w:name w:val="2E1A59EBC8E04902B483676D225F855C"/>
    <w:rsid w:val="00886BDD"/>
  </w:style>
  <w:style w:type="paragraph" w:customStyle="1" w:styleId="20555E84575C491F849285765C708B08">
    <w:name w:val="20555E84575C491F849285765C708B08"/>
    <w:rsid w:val="00886BDD"/>
  </w:style>
  <w:style w:type="paragraph" w:customStyle="1" w:styleId="24431239EE8B4F8CBA0E035901B35D58">
    <w:name w:val="24431239EE8B4F8CBA0E035901B35D58"/>
    <w:rsid w:val="00886BDD"/>
  </w:style>
  <w:style w:type="paragraph" w:customStyle="1" w:styleId="1B3C57ED5CC741EF81941D50A7C056E8">
    <w:name w:val="1B3C57ED5CC741EF81941D50A7C056E8"/>
    <w:rsid w:val="00886BDD"/>
  </w:style>
  <w:style w:type="paragraph" w:customStyle="1" w:styleId="F752305509B645FF807CCD300175E5B5">
    <w:name w:val="F752305509B645FF807CCD300175E5B5"/>
    <w:rsid w:val="00886BDD"/>
  </w:style>
  <w:style w:type="paragraph" w:customStyle="1" w:styleId="A809AF7E639143599EDCFED7D16C7D63">
    <w:name w:val="A809AF7E639143599EDCFED7D16C7D63"/>
    <w:rsid w:val="00886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CDFD5B-763E-48A5-9E0A-22AEC6F769D0}"/>
</file>

<file path=customXml/itemProps2.xml><?xml version="1.0" encoding="utf-8"?>
<ds:datastoreItem xmlns:ds="http://schemas.openxmlformats.org/officeDocument/2006/customXml" ds:itemID="{1887EE41-B021-4357-B210-28AFB6282DA6}"/>
</file>

<file path=customXml/itemProps3.xml><?xml version="1.0" encoding="utf-8"?>
<ds:datastoreItem xmlns:ds="http://schemas.openxmlformats.org/officeDocument/2006/customXml" ds:itemID="{9E5B94C0-4B99-44F1-9BFA-5174E5022A59}"/>
</file>

<file path=customXml/itemProps4.xml><?xml version="1.0" encoding="utf-8"?>
<ds:datastoreItem xmlns:ds="http://schemas.openxmlformats.org/officeDocument/2006/customXml" ds:itemID="{3E6D6DBC-B6F1-4C8A-A3D8-3457BD3231BB}"/>
</file>

<file path=docProps/app.xml><?xml version="1.0" encoding="utf-8"?>
<Properties xmlns="http://schemas.openxmlformats.org/officeDocument/2006/extended-properties" xmlns:vt="http://schemas.openxmlformats.org/officeDocument/2006/docPropsVTypes">
  <Template>OAR437.dotx</Template>
  <TotalTime>1</TotalTime>
  <Pages>12</Pages>
  <Words>2969</Words>
  <Characters>15717</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Maritime Activities</vt:lpstr>
    </vt:vector>
  </TitlesOfParts>
  <Company>Oregon Occupational Safety and Health Division</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Maritime Activities</dc:title>
  <dc:subject>Division 5</dc:subject>
  <dc:creator>Ficek Stephanie</dc:creator>
  <cp:keywords>5</cp:keywords>
  <dc:description>3-2019</dc:description>
  <cp:lastModifiedBy>Ficek Stephanie</cp:lastModifiedBy>
  <cp:revision>2</cp:revision>
  <cp:lastPrinted>2019-03-15T21:38:00Z</cp:lastPrinted>
  <dcterms:created xsi:type="dcterms:W3CDTF">2019-11-08T18:48:00Z</dcterms:created>
  <dcterms:modified xsi:type="dcterms:W3CDTF">2019-11-08T18:48:00Z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eType">
    <vt:lpwstr>  </vt:lpwstr>
  </property>
  <property fmtid="{D5CDD505-2E9C-101B-9397-08002B2CF9AE}" pid="3" name="Inactive">
    <vt:bool>false</vt:bool>
  </property>
  <property fmtid="{D5CDD505-2E9C-101B-9397-08002B2CF9AE}" pid="4" name="ContentTypeId">
    <vt:lpwstr>0x0101008D40E5C8F7FE1B46B4C78942B59C5566</vt:lpwstr>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Description1">
    <vt:lpwstr/>
  </property>
  <property fmtid="{D5CDD505-2E9C-101B-9397-08002B2CF9AE}" pid="13" name="WordVersion">
    <vt:lpwstr>, </vt:lpwstr>
  </property>
</Properties>
</file>